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22C8D" w:rsidRDefault="00D22C8D">
      <w:pPr>
        <w:jc w:val="both"/>
        <w:rPr>
          <w:rFonts w:ascii="Palatino Linotype" w:hAnsi="Palatino Linotype" w:cs="Palatino Linotype"/>
          <w:sz w:val="24"/>
          <w:szCs w:val="24"/>
        </w:rPr>
      </w:pPr>
    </w:p>
    <w:p w:rsidR="00D22C8D" w:rsidRPr="00BD0B1E" w:rsidRDefault="004A380F">
      <w:pPr>
        <w:ind w:left="4963" w:firstLine="709"/>
        <w:jc w:val="center"/>
        <w:rPr>
          <w:b/>
          <w:bCs/>
          <w:sz w:val="18"/>
          <w:szCs w:val="18"/>
        </w:rPr>
      </w:pPr>
      <w:r w:rsidRPr="00BD0B1E">
        <w:rPr>
          <w:b/>
          <w:bCs/>
          <w:sz w:val="18"/>
          <w:szCs w:val="18"/>
        </w:rPr>
        <w:t>Załącznik Nr  1 do Zarządzenia Nr 2/2019</w:t>
      </w:r>
    </w:p>
    <w:p w:rsidR="004A380F" w:rsidRPr="00BD0B1E" w:rsidRDefault="004A380F">
      <w:pPr>
        <w:spacing w:before="240"/>
        <w:ind w:left="4963" w:firstLine="709"/>
        <w:jc w:val="center"/>
        <w:rPr>
          <w:b/>
          <w:bCs/>
          <w:sz w:val="18"/>
          <w:szCs w:val="18"/>
        </w:rPr>
      </w:pPr>
      <w:r w:rsidRPr="00BD0B1E">
        <w:rPr>
          <w:b/>
          <w:bCs/>
          <w:sz w:val="18"/>
          <w:szCs w:val="18"/>
        </w:rPr>
        <w:t>Dyrektora Miejskiego Przedszkola Nr 37</w:t>
      </w:r>
    </w:p>
    <w:p w:rsidR="00D22C8D" w:rsidRPr="00BD0B1E" w:rsidRDefault="004A380F">
      <w:pPr>
        <w:spacing w:before="240"/>
        <w:ind w:left="5672"/>
        <w:jc w:val="both"/>
        <w:rPr>
          <w:b/>
          <w:sz w:val="18"/>
          <w:szCs w:val="18"/>
        </w:rPr>
      </w:pPr>
      <w:r w:rsidRPr="00BD0B1E">
        <w:rPr>
          <w:b/>
          <w:bCs/>
          <w:sz w:val="18"/>
          <w:szCs w:val="18"/>
        </w:rPr>
        <w:t xml:space="preserve">    w Częstochowie  </w:t>
      </w:r>
      <w:r w:rsidR="00D22C8D" w:rsidRPr="00BD0B1E">
        <w:rPr>
          <w:b/>
          <w:bCs/>
          <w:sz w:val="18"/>
          <w:szCs w:val="18"/>
        </w:rPr>
        <w:t>z dnia</w:t>
      </w:r>
      <w:r w:rsidRPr="00BD0B1E">
        <w:rPr>
          <w:b/>
          <w:bCs/>
          <w:sz w:val="18"/>
          <w:szCs w:val="18"/>
        </w:rPr>
        <w:t xml:space="preserve"> 09. 01. 2019 r.</w:t>
      </w: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jc w:val="both"/>
        <w:rPr>
          <w:rFonts w:ascii="Palatino Linotype" w:hAnsi="Palatino Linotype" w:cs="Palatino Linotype"/>
          <w:sz w:val="24"/>
          <w:szCs w:val="24"/>
        </w:rPr>
      </w:pPr>
    </w:p>
    <w:p w:rsidR="00D22C8D" w:rsidRDefault="00D22C8D">
      <w:pPr>
        <w:spacing w:after="60" w:line="360" w:lineRule="auto"/>
        <w:jc w:val="center"/>
        <w:rPr>
          <w:rFonts w:ascii="Palatino Linotype" w:hAnsi="Palatino Linotype" w:cs="Palatino Linotype"/>
          <w:b/>
          <w:bCs/>
          <w:i/>
          <w:color w:val="FF0000"/>
        </w:rPr>
      </w:pPr>
      <w:r>
        <w:rPr>
          <w:rFonts w:ascii="Palatino Linotype" w:hAnsi="Palatino Linotype" w:cs="Palatino Linotype"/>
          <w:b/>
          <w:bCs/>
          <w:sz w:val="32"/>
          <w:szCs w:val="32"/>
        </w:rPr>
        <w:t>INSTRUKCJA KANCELARYJNA</w:t>
      </w:r>
    </w:p>
    <w:p w:rsidR="00D22C8D" w:rsidRPr="004A380F" w:rsidRDefault="004A380F">
      <w:pPr>
        <w:spacing w:after="60" w:line="360" w:lineRule="auto"/>
        <w:jc w:val="center"/>
        <w:rPr>
          <w:rFonts w:ascii="Palatino Linotype" w:hAnsi="Palatino Linotype" w:cs="Palatino Linotype"/>
          <w:b/>
          <w:sz w:val="32"/>
          <w:szCs w:val="32"/>
        </w:rPr>
      </w:pPr>
      <w:r w:rsidRPr="004A380F">
        <w:rPr>
          <w:rFonts w:ascii="Palatino Linotype" w:hAnsi="Palatino Linotype" w:cs="Palatino Linotype"/>
          <w:b/>
          <w:sz w:val="32"/>
          <w:szCs w:val="32"/>
        </w:rPr>
        <w:t>MIEJSKIEGO  PRZEDSZKOLA  NR  37</w:t>
      </w:r>
    </w:p>
    <w:p w:rsidR="004A380F" w:rsidRDefault="004A380F">
      <w:pPr>
        <w:spacing w:after="60" w:line="360" w:lineRule="auto"/>
        <w:jc w:val="center"/>
        <w:rPr>
          <w:rFonts w:ascii="Palatino Linotype" w:hAnsi="Palatino Linotype" w:cs="Palatino Linotype"/>
          <w:b/>
          <w:sz w:val="24"/>
          <w:szCs w:val="24"/>
        </w:rPr>
      </w:pPr>
      <w:r w:rsidRPr="004A380F">
        <w:rPr>
          <w:rFonts w:ascii="Palatino Linotype" w:hAnsi="Palatino Linotype" w:cs="Palatino Linotype"/>
          <w:b/>
          <w:sz w:val="32"/>
          <w:szCs w:val="32"/>
        </w:rPr>
        <w:t>W  CZESTOCHOWIE</w:t>
      </w: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b/>
          <w:sz w:val="24"/>
          <w:szCs w:val="24"/>
        </w:rPr>
      </w:pPr>
    </w:p>
    <w:p w:rsidR="00D22C8D" w:rsidRDefault="00D22C8D">
      <w:pPr>
        <w:jc w:val="center"/>
        <w:rPr>
          <w:rFonts w:ascii="Palatino Linotype" w:hAnsi="Palatino Linotype" w:cs="Palatino Linotype"/>
          <w:sz w:val="24"/>
          <w:szCs w:val="24"/>
        </w:rPr>
      </w:pPr>
    </w:p>
    <w:p w:rsidR="00D22C8D" w:rsidRDefault="00D22C8D">
      <w:pPr>
        <w:jc w:val="center"/>
        <w:rPr>
          <w:rFonts w:ascii="Palatino Linotype" w:hAnsi="Palatino Linotype" w:cs="Palatino Linotype"/>
          <w:sz w:val="24"/>
          <w:szCs w:val="24"/>
        </w:rPr>
      </w:pPr>
    </w:p>
    <w:p w:rsidR="00D22C8D" w:rsidRDefault="00D22C8D">
      <w:pPr>
        <w:jc w:val="center"/>
        <w:rPr>
          <w:rFonts w:ascii="Palatino Linotype" w:hAnsi="Palatino Linotype" w:cs="Palatino Linotype"/>
          <w:sz w:val="24"/>
          <w:szCs w:val="24"/>
        </w:rPr>
      </w:pPr>
    </w:p>
    <w:p w:rsidR="00D22C8D" w:rsidRDefault="00D22C8D">
      <w:pPr>
        <w:jc w:val="center"/>
        <w:rPr>
          <w:rFonts w:ascii="Palatino Linotype" w:hAnsi="Palatino Linotype" w:cs="Palatino Linotype"/>
          <w:sz w:val="24"/>
          <w:szCs w:val="24"/>
        </w:rPr>
      </w:pPr>
    </w:p>
    <w:p w:rsidR="00D22C8D" w:rsidRDefault="00D22C8D">
      <w:pPr>
        <w:jc w:val="center"/>
        <w:rPr>
          <w:rFonts w:ascii="Palatino Linotype" w:hAnsi="Palatino Linotype" w:cs="Palatino Linotype"/>
          <w:sz w:val="24"/>
          <w:szCs w:val="24"/>
        </w:rPr>
      </w:pPr>
    </w:p>
    <w:p w:rsidR="00D22C8D" w:rsidRDefault="00D22C8D">
      <w:pPr>
        <w:jc w:val="center"/>
        <w:rPr>
          <w:rFonts w:ascii="Palatino Linotype" w:hAnsi="Palatino Linotype" w:cs="Palatino Linotype"/>
          <w:sz w:val="24"/>
          <w:szCs w:val="24"/>
        </w:rPr>
      </w:pPr>
    </w:p>
    <w:p w:rsidR="00D22C8D" w:rsidRDefault="00D22C8D">
      <w:pPr>
        <w:pageBreakBefore/>
        <w:rPr>
          <w:rFonts w:ascii="Palatino Linotype" w:hAnsi="Palatino Linotype" w:cs="Palatino Linotype"/>
        </w:rPr>
      </w:pPr>
      <w:r>
        <w:rPr>
          <w:rFonts w:ascii="Palatino Linotype" w:hAnsi="Palatino Linotype" w:cs="Palatino Linotype"/>
        </w:rPr>
        <w:lastRenderedPageBreak/>
        <w:t>Spis treści</w:t>
      </w:r>
    </w:p>
    <w:p w:rsidR="00D22C8D" w:rsidRDefault="00D22C8D">
      <w:pPr>
        <w:rPr>
          <w:rFonts w:ascii="Palatino Linotype" w:hAnsi="Palatino Linotype" w:cs="Palatino Linotype"/>
        </w:rPr>
      </w:pPr>
    </w:p>
    <w:p w:rsidR="00D22C8D" w:rsidRDefault="00D22C8D">
      <w:pPr>
        <w:rPr>
          <w:rStyle w:val="Hipercze"/>
          <w:rFonts w:ascii="Palatino Linotype" w:hAnsi="Palatino Linotype" w:cs="Palatino Linotype"/>
          <w:color w:val="auto"/>
          <w:sz w:val="22"/>
          <w:szCs w:val="22"/>
          <w:u w:val="none"/>
        </w:rPr>
      </w:pPr>
      <w:r>
        <w:rPr>
          <w:rStyle w:val="Hipercze"/>
          <w:rFonts w:ascii="Palatino Linotype" w:hAnsi="Palatino Linotype" w:cs="Palatino Linotype"/>
          <w:color w:val="auto"/>
          <w:sz w:val="22"/>
          <w:szCs w:val="22"/>
          <w:u w:val="none"/>
        </w:rPr>
        <w:t>Rozdział 1</w:t>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p>
    <w:p w:rsidR="00D22C8D" w:rsidRDefault="00D22C8D">
      <w:r>
        <w:rPr>
          <w:rStyle w:val="Hipercze"/>
          <w:rFonts w:ascii="Palatino Linotype" w:hAnsi="Palatino Linotype" w:cs="Palatino Linotype"/>
          <w:color w:val="auto"/>
          <w:sz w:val="22"/>
          <w:szCs w:val="22"/>
          <w:u w:val="none"/>
        </w:rPr>
        <w:t>Przepisy ogólne</w:t>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2</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Przyjmowanie, otwieranie i sprawdzanie przesyłek</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3</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Przeglądanie i przydzielanie przesyłek</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4</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Rejestracja spraw i sposób ich dokumentowania</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5</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Załatwianie spraw</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6</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Akceptacja, podpisywanie i wysyłanie pism</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7</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Przechowywanie dokumentacji w komórkach organizacyjnych</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lang w:val="pl-PL"/>
        </w:rPr>
      </w:pPr>
      <w:r>
        <w:rPr>
          <w:rStyle w:val="Hipercze"/>
          <w:rFonts w:ascii="Palatino Linotype" w:hAnsi="Palatino Linotype" w:cs="Palatino Linotype"/>
          <w:color w:val="auto"/>
          <w:sz w:val="22"/>
          <w:szCs w:val="22"/>
          <w:u w:val="none"/>
        </w:rPr>
        <w:t>Rozdział 8</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r>
        <w:rPr>
          <w:rStyle w:val="Hipercze"/>
          <w:rFonts w:ascii="Palatino Linotype" w:hAnsi="Palatino Linotype" w:cs="Palatino Linotype"/>
          <w:color w:val="auto"/>
          <w:sz w:val="22"/>
          <w:szCs w:val="22"/>
          <w:u w:val="none"/>
          <w:lang w:val="pl-PL"/>
        </w:rPr>
        <w:t xml:space="preserve">Przekazywanie dokumentacji do składnicy akt                       </w:t>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r>
        <w:rPr>
          <w:rFonts w:ascii="Palatino Linotype" w:hAnsi="Palatino Linotype" w:cs="Palatino Linotype"/>
          <w:sz w:val="22"/>
          <w:szCs w:val="22"/>
          <w:lang w:val="pl-PL"/>
        </w:rPr>
        <w:tab/>
      </w:r>
    </w:p>
    <w:p w:rsidR="00D22C8D" w:rsidRDefault="00D22C8D"/>
    <w:p w:rsidR="00D22C8D" w:rsidRDefault="00D22C8D">
      <w:pPr>
        <w:rPr>
          <w:rStyle w:val="Hipercze"/>
          <w:rFonts w:ascii="Palatino Linotype" w:hAnsi="Palatino Linotype" w:cs="Palatino Linotype"/>
          <w:color w:val="auto"/>
          <w:sz w:val="22"/>
          <w:szCs w:val="22"/>
          <w:u w:val="none"/>
        </w:rPr>
      </w:pPr>
      <w:r>
        <w:rPr>
          <w:rStyle w:val="Hipercze"/>
          <w:rFonts w:ascii="Palatino Linotype" w:hAnsi="Palatino Linotype" w:cs="Palatino Linotype"/>
          <w:color w:val="auto"/>
          <w:sz w:val="22"/>
          <w:szCs w:val="22"/>
          <w:u w:val="none"/>
        </w:rPr>
        <w:t>Rozdział 9</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rsidR="00D22C8D" w:rsidRDefault="00D22C8D">
      <w:pPr>
        <w:spacing w:after="120"/>
      </w:pPr>
      <w:r>
        <w:rPr>
          <w:rStyle w:val="Hipercze"/>
          <w:rFonts w:ascii="Palatino Linotype" w:hAnsi="Palatino Linotype" w:cs="Palatino Linotype"/>
          <w:color w:val="auto"/>
          <w:sz w:val="22"/>
          <w:szCs w:val="22"/>
          <w:u w:val="none"/>
        </w:rPr>
        <w:t xml:space="preserve">Postępowanie z dokumentacją w przypadku ustania działalności jednostki, </w:t>
      </w:r>
      <w:r>
        <w:rPr>
          <w:rStyle w:val="Hipercze"/>
          <w:rFonts w:ascii="Palatino Linotype" w:hAnsi="Palatino Linotype" w:cs="Palatino Linotype"/>
          <w:color w:val="auto"/>
          <w:sz w:val="22"/>
          <w:szCs w:val="22"/>
          <w:u w:val="none"/>
        </w:rPr>
        <w:br/>
        <w:t>komórki organizacyjnej lub ich reorganizacji</w:t>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r>
        <w:rPr>
          <w:rStyle w:val="Hipercze"/>
          <w:rFonts w:ascii="Palatino Linotype" w:hAnsi="Palatino Linotype" w:cs="Palatino Linotype"/>
          <w:color w:val="auto"/>
          <w:sz w:val="22"/>
          <w:szCs w:val="22"/>
          <w:u w:val="none"/>
        </w:rPr>
        <w:tab/>
      </w:r>
    </w:p>
    <w:p w:rsidR="00D22C8D" w:rsidRDefault="00D22C8D">
      <w:pPr>
        <w:pageBreakBefore/>
        <w:spacing w:after="120"/>
      </w:pPr>
    </w:p>
    <w:p w:rsidR="00D22C8D" w:rsidRDefault="00D22C8D">
      <w:pPr>
        <w:jc w:val="center"/>
        <w:rPr>
          <w:rFonts w:ascii="Palatino Linotype" w:hAnsi="Palatino Linotype" w:cs="Palatino Linotype"/>
          <w:sz w:val="26"/>
          <w:szCs w:val="26"/>
        </w:rPr>
      </w:pPr>
      <w:r>
        <w:rPr>
          <w:rFonts w:ascii="Palatino Linotype" w:hAnsi="Palatino Linotype" w:cs="Palatino Linotype"/>
          <w:b/>
          <w:sz w:val="28"/>
          <w:szCs w:val="28"/>
        </w:rPr>
        <w:t>Rozdział 1</w:t>
      </w:r>
    </w:p>
    <w:p w:rsidR="00D22C8D" w:rsidRDefault="00D22C8D">
      <w:pPr>
        <w:pStyle w:val="Tytu"/>
        <w:spacing w:before="0" w:after="0"/>
        <w:rPr>
          <w:sz w:val="22"/>
          <w:szCs w:val="22"/>
        </w:rPr>
      </w:pPr>
      <w:r>
        <w:rPr>
          <w:rFonts w:ascii="Palatino Linotype" w:hAnsi="Palatino Linotype" w:cs="Palatino Linotype"/>
          <w:sz w:val="26"/>
          <w:szCs w:val="26"/>
        </w:rPr>
        <w:t>Przepisy ogólne</w:t>
      </w:r>
    </w:p>
    <w:p w:rsidR="00D22C8D" w:rsidRDefault="00D22C8D">
      <w:pPr>
        <w:spacing w:before="120" w:after="120"/>
        <w:jc w:val="center"/>
        <w:rPr>
          <w:rFonts w:ascii="Palatino Linotype" w:hAnsi="Palatino Linotype" w:cs="Palatino Linotype"/>
          <w:sz w:val="24"/>
          <w:szCs w:val="24"/>
        </w:rPr>
      </w:pPr>
      <w:r>
        <w:rPr>
          <w:sz w:val="22"/>
          <w:szCs w:val="22"/>
        </w:rPr>
        <w:t>§</w:t>
      </w:r>
      <w:r>
        <w:rPr>
          <w:rFonts w:ascii="Palatino Linotype" w:hAnsi="Palatino Linotype" w:cs="Palatino Linotype"/>
          <w:sz w:val="22"/>
          <w:szCs w:val="22"/>
        </w:rPr>
        <w:t xml:space="preserve"> 1.</w:t>
      </w:r>
    </w:p>
    <w:p w:rsidR="00D22C8D" w:rsidRDefault="00D22C8D">
      <w:pPr>
        <w:numPr>
          <w:ilvl w:val="0"/>
          <w:numId w:val="59"/>
        </w:numPr>
        <w:spacing w:after="120"/>
        <w:jc w:val="both"/>
        <w:rPr>
          <w:rFonts w:ascii="Palatino Linotype" w:hAnsi="Palatino Linotype" w:cs="Palatino Linotype"/>
          <w:sz w:val="24"/>
          <w:szCs w:val="24"/>
        </w:rPr>
      </w:pPr>
      <w:r>
        <w:rPr>
          <w:rFonts w:ascii="Palatino Linotype" w:hAnsi="Palatino Linotype" w:cs="Palatino Linotype"/>
          <w:sz w:val="24"/>
          <w:szCs w:val="24"/>
        </w:rPr>
        <w:t xml:space="preserve">Instrukcja kancelaryjna, zwana dalej „instrukcją”, określa szczegółowe zasady i tryb wykonywania czynności kancelaryjnych </w:t>
      </w:r>
      <w:r>
        <w:rPr>
          <w:rFonts w:ascii="Palatino Linotype" w:hAnsi="Palatino Linotype" w:cs="Calibri"/>
          <w:sz w:val="24"/>
          <w:szCs w:val="24"/>
        </w:rPr>
        <w:t>w</w:t>
      </w:r>
      <w:r w:rsidR="004A380F">
        <w:rPr>
          <w:rFonts w:ascii="Palatino Linotype" w:hAnsi="Palatino Linotype" w:cs="Calibri"/>
          <w:sz w:val="24"/>
          <w:szCs w:val="24"/>
        </w:rPr>
        <w:t xml:space="preserve"> Miejskim Przedszkolu Nr 37</w:t>
      </w:r>
      <w:r>
        <w:rPr>
          <w:rFonts w:ascii="Palatino Linotype" w:hAnsi="Palatino Linotype" w:cs="Palatino Linotype"/>
          <w:sz w:val="24"/>
          <w:szCs w:val="24"/>
        </w:rPr>
        <w:t>, zwanym dale</w:t>
      </w:r>
      <w:r w:rsidR="004A380F">
        <w:rPr>
          <w:rFonts w:ascii="Palatino Linotype" w:hAnsi="Palatino Linotype" w:cs="Palatino Linotype"/>
          <w:sz w:val="24"/>
          <w:szCs w:val="24"/>
        </w:rPr>
        <w:t>j MP37</w:t>
      </w:r>
      <w:r>
        <w:rPr>
          <w:rFonts w:ascii="Palatino Linotype" w:hAnsi="Palatino Linotype" w:cs="Palatino Linotype"/>
          <w:sz w:val="24"/>
          <w:szCs w:val="24"/>
        </w:rPr>
        <w:t>, oraz reguluje postępowanie w tym zakresie z wszelką dokumentacją, jeżeli przepisy prawa powszechnie obowiązującego nie stanowią inaczej:</w:t>
      </w:r>
    </w:p>
    <w:p w:rsidR="00D22C8D" w:rsidRDefault="00D22C8D">
      <w:pPr>
        <w:numPr>
          <w:ilvl w:val="0"/>
          <w:numId w:val="80"/>
        </w:numPr>
        <w:ind w:left="709" w:hanging="283"/>
        <w:jc w:val="both"/>
        <w:rPr>
          <w:rFonts w:ascii="Palatino Linotype" w:hAnsi="Palatino Linotype" w:cs="Palatino Linotype"/>
          <w:sz w:val="24"/>
          <w:szCs w:val="24"/>
        </w:rPr>
      </w:pPr>
      <w:r>
        <w:rPr>
          <w:rFonts w:ascii="Palatino Linotype" w:hAnsi="Palatino Linotype" w:cs="Palatino Linotype"/>
          <w:sz w:val="24"/>
          <w:szCs w:val="24"/>
        </w:rPr>
        <w:t>począwszy od wpływu lub powstania dokumentacji wewnątrz własnej jednostki organizacyjnej do momentu jej uznania za część dokumentacji w składnicy akt lub przekazania do zniszczenia oraz</w:t>
      </w:r>
    </w:p>
    <w:p w:rsidR="00D22C8D" w:rsidRDefault="00D22C8D">
      <w:pPr>
        <w:numPr>
          <w:ilvl w:val="0"/>
          <w:numId w:val="80"/>
        </w:numPr>
        <w:ind w:left="709" w:hanging="283"/>
        <w:jc w:val="both"/>
        <w:rPr>
          <w:rFonts w:ascii="Palatino Linotype" w:hAnsi="Palatino Linotype" w:cs="Palatino Linotype"/>
          <w:sz w:val="24"/>
          <w:szCs w:val="24"/>
        </w:rPr>
      </w:pPr>
      <w:r>
        <w:rPr>
          <w:rFonts w:ascii="Palatino Linotype" w:hAnsi="Palatino Linotype" w:cs="Palatino Linotype"/>
          <w:sz w:val="24"/>
          <w:szCs w:val="24"/>
        </w:rPr>
        <w:t>niezależnie od techniki jej wytwarzania, postaci fizycznej oraz informacji w niej zawartych.</w:t>
      </w:r>
    </w:p>
    <w:p w:rsidR="00D22C8D" w:rsidRDefault="00D22C8D">
      <w:pPr>
        <w:numPr>
          <w:ilvl w:val="0"/>
          <w:numId w:val="59"/>
        </w:numPr>
        <w:spacing w:after="120"/>
        <w:jc w:val="both"/>
        <w:rPr>
          <w:rFonts w:ascii="Palatino Linotype" w:hAnsi="Palatino Linotype" w:cs="Palatino Linotype"/>
          <w:sz w:val="24"/>
          <w:szCs w:val="24"/>
        </w:rPr>
      </w:pPr>
      <w:r>
        <w:rPr>
          <w:rFonts w:ascii="Palatino Linotype" w:hAnsi="Palatino Linotype" w:cs="Palatino Linotype"/>
          <w:sz w:val="24"/>
          <w:szCs w:val="24"/>
        </w:rPr>
        <w:t xml:space="preserve">Dokumentację składaną przez osoby zatrudnione we własnej jednostce organizacyjnej w sprawach dotyczących zatrudnienia </w:t>
      </w:r>
      <w:r>
        <w:rPr>
          <w:rFonts w:ascii="Palatino Linotype" w:hAnsi="Palatino Linotype" w:cs="Calibri"/>
          <w:sz w:val="24"/>
          <w:szCs w:val="24"/>
        </w:rPr>
        <w:t>(np. wnioski o urlop macierzyński i ojcowski, wnioski o urlop bezpłatny, wnioski o urlop wychowawczy) uważa się za przesyłki wpływające</w:t>
      </w:r>
      <w:r w:rsidR="004A380F">
        <w:rPr>
          <w:rFonts w:ascii="Palatino Linotype" w:hAnsi="Palatino Linotype" w:cs="Calibri"/>
          <w:sz w:val="24"/>
          <w:szCs w:val="24"/>
        </w:rPr>
        <w:t xml:space="preserve"> do MP37.</w:t>
      </w:r>
      <w:r>
        <w:rPr>
          <w:rFonts w:ascii="Palatino Linotype" w:hAnsi="Palatino Linotype" w:cs="Palatino Linotype"/>
          <w:i/>
          <w:sz w:val="24"/>
          <w:szCs w:val="24"/>
        </w:rPr>
        <w:t xml:space="preserve"> </w:t>
      </w:r>
    </w:p>
    <w:p w:rsidR="00D22C8D" w:rsidRDefault="00D22C8D">
      <w:pPr>
        <w:numPr>
          <w:ilvl w:val="0"/>
          <w:numId w:val="59"/>
        </w:numPr>
        <w:spacing w:after="120"/>
        <w:jc w:val="both"/>
        <w:rPr>
          <w:rFonts w:ascii="Palatino Linotype" w:hAnsi="Palatino Linotype" w:cs="Calibri"/>
          <w:sz w:val="24"/>
          <w:szCs w:val="24"/>
        </w:rPr>
      </w:pPr>
      <w:r>
        <w:rPr>
          <w:rFonts w:ascii="Palatino Linotype" w:hAnsi="Palatino Linotype" w:cs="Palatino Linotype"/>
          <w:sz w:val="24"/>
          <w:szCs w:val="24"/>
        </w:rPr>
        <w:t>Do bieżącego nadzoru nad prawidłowością wykonywania czynności kancelaryjnych, w szczególności w zakresie doboru klas z jednolitego rzeczowego wykazu akt, zwanego dalej „wykazem akt” do załatwianych spraw, właściwego zakładania spraw i prowadzenia akt spraw</w:t>
      </w:r>
      <w:r>
        <w:rPr>
          <w:rFonts w:ascii="Palatino Linotype" w:hAnsi="Palatino Linotype" w:cs="Palatino Linotype"/>
          <w:color w:val="FF0000"/>
          <w:sz w:val="24"/>
          <w:szCs w:val="24"/>
        </w:rPr>
        <w:t xml:space="preserve">, </w:t>
      </w:r>
      <w:r w:rsidRPr="004A380F">
        <w:rPr>
          <w:rStyle w:val="FontStyle51"/>
          <w:rFonts w:ascii="Palatino Linotype" w:hAnsi="Palatino Linotype" w:cs="Calibri"/>
          <w:b/>
          <w:sz w:val="24"/>
          <w:szCs w:val="24"/>
        </w:rPr>
        <w:t>Dyrektor Przedszkola</w:t>
      </w:r>
      <w:r w:rsidR="004A380F" w:rsidRPr="004A380F">
        <w:rPr>
          <w:rStyle w:val="FontStyle51"/>
          <w:rFonts w:ascii="Palatino Linotype" w:hAnsi="Palatino Linotype" w:cs="Calibri"/>
          <w:b/>
          <w:sz w:val="24"/>
          <w:szCs w:val="24"/>
        </w:rPr>
        <w:t xml:space="preserve"> MP37</w:t>
      </w:r>
      <w:r w:rsidRPr="004A380F">
        <w:rPr>
          <w:rStyle w:val="FontStyle51"/>
          <w:rFonts w:ascii="Palatino Linotype" w:hAnsi="Palatino Linotype" w:cs="Calibri"/>
          <w:sz w:val="24"/>
          <w:szCs w:val="24"/>
        </w:rPr>
        <w:t>,</w:t>
      </w:r>
      <w:r>
        <w:rPr>
          <w:rStyle w:val="FontStyle51"/>
          <w:rFonts w:ascii="Palatino Linotype" w:hAnsi="Palatino Linotype" w:cs="Calibri"/>
          <w:i/>
          <w:sz w:val="24"/>
          <w:szCs w:val="24"/>
        </w:rPr>
        <w:t xml:space="preserve"> </w:t>
      </w:r>
      <w:r>
        <w:rPr>
          <w:rStyle w:val="FontStyle51"/>
          <w:rFonts w:ascii="Palatino Linotype" w:hAnsi="Palatino Linotype" w:cs="Calibri"/>
          <w:sz w:val="24"/>
          <w:szCs w:val="24"/>
        </w:rPr>
        <w:t xml:space="preserve">zwany dalej </w:t>
      </w:r>
      <w:r w:rsidR="004A380F" w:rsidRPr="004A380F">
        <w:rPr>
          <w:rStyle w:val="FontStyle51"/>
          <w:rFonts w:ascii="Palatino Linotype" w:hAnsi="Palatino Linotype" w:cs="Calibri"/>
          <w:b/>
          <w:sz w:val="24"/>
          <w:szCs w:val="24"/>
        </w:rPr>
        <w:t>Dyrektor MP37</w:t>
      </w:r>
      <w:r>
        <w:rPr>
          <w:rStyle w:val="FontStyle51"/>
          <w:rFonts w:ascii="Palatino Linotype" w:hAnsi="Palatino Linotype" w:cs="Calibri"/>
          <w:i/>
          <w:sz w:val="24"/>
          <w:szCs w:val="24"/>
        </w:rPr>
        <w:t xml:space="preserve"> </w:t>
      </w:r>
      <w:r>
        <w:rPr>
          <w:rFonts w:ascii="Palatino Linotype" w:hAnsi="Palatino Linotype" w:cs="Calibri"/>
          <w:sz w:val="24"/>
          <w:szCs w:val="24"/>
        </w:rPr>
        <w:t>wyznacza koordynatora czynności kancelaryjnych.</w:t>
      </w:r>
    </w:p>
    <w:p w:rsidR="00D22C8D" w:rsidRDefault="00D22C8D">
      <w:pPr>
        <w:numPr>
          <w:ilvl w:val="0"/>
          <w:numId w:val="59"/>
        </w:numPr>
        <w:spacing w:after="120"/>
        <w:jc w:val="both"/>
        <w:rPr>
          <w:sz w:val="24"/>
          <w:szCs w:val="24"/>
        </w:rPr>
      </w:pPr>
      <w:r>
        <w:rPr>
          <w:rFonts w:ascii="Palatino Linotype" w:hAnsi="Palatino Linotype" w:cs="Calibri"/>
          <w:sz w:val="24"/>
          <w:szCs w:val="24"/>
        </w:rPr>
        <w:t>Funkcję, określoną w ust. 3, powierza się archiwiście lub innemu pracownikowi</w:t>
      </w:r>
      <w:r w:rsidR="004A380F">
        <w:rPr>
          <w:rFonts w:ascii="Palatino Linotype" w:hAnsi="Palatino Linotype" w:cs="Calibri"/>
          <w:sz w:val="24"/>
          <w:szCs w:val="24"/>
        </w:rPr>
        <w:t xml:space="preserve"> MP37</w:t>
      </w:r>
      <w:r>
        <w:rPr>
          <w:rFonts w:ascii="Palatino Linotype" w:hAnsi="Palatino Linotype" w:cs="Palatino Linotype"/>
          <w:b/>
          <w:sz w:val="24"/>
          <w:szCs w:val="24"/>
        </w:rPr>
        <w:t>,</w:t>
      </w:r>
      <w:r>
        <w:rPr>
          <w:rFonts w:ascii="Palatino Linotype" w:hAnsi="Palatino Linotype" w:cs="Palatino Linotype"/>
          <w:sz w:val="24"/>
          <w:szCs w:val="24"/>
        </w:rPr>
        <w:t xml:space="preserve"> pod warunkiem, że</w:t>
      </w:r>
      <w:r>
        <w:rPr>
          <w:rFonts w:ascii="Palatino Linotype" w:hAnsi="Palatino Linotype" w:cs="Palatino Linotype"/>
          <w:iCs/>
          <w:sz w:val="24"/>
          <w:szCs w:val="24"/>
        </w:rPr>
        <w:t xml:space="preserve"> ten pracownik dysponuje odpow</w:t>
      </w:r>
      <w:r w:rsidR="004A380F">
        <w:rPr>
          <w:rFonts w:ascii="Palatino Linotype" w:hAnsi="Palatino Linotype" w:cs="Palatino Linotype"/>
          <w:iCs/>
          <w:sz w:val="24"/>
          <w:szCs w:val="24"/>
        </w:rPr>
        <w:t>iednim przygotowaniem w zakresie</w:t>
      </w:r>
      <w:r>
        <w:rPr>
          <w:rFonts w:ascii="Palatino Linotype" w:hAnsi="Palatino Linotype" w:cs="Palatino Linotype"/>
          <w:iCs/>
          <w:sz w:val="24"/>
          <w:szCs w:val="24"/>
        </w:rPr>
        <w:t xml:space="preserve"> prawidłowej realizacji</w:t>
      </w:r>
      <w:r>
        <w:rPr>
          <w:rFonts w:ascii="Palatino Linotype" w:hAnsi="Palatino Linotype" w:cs="Palatino Linotype"/>
          <w:sz w:val="24"/>
          <w:szCs w:val="24"/>
        </w:rPr>
        <w:t xml:space="preserve"> zadań składnicy akt</w:t>
      </w:r>
      <w:r>
        <w:rPr>
          <w:rFonts w:ascii="Palatino Linotype" w:hAnsi="Palatino Linotype" w:cs="Palatino Linotype"/>
          <w:i/>
          <w:sz w:val="24"/>
          <w:szCs w:val="24"/>
        </w:rPr>
        <w:t>.</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w:t>
      </w:r>
    </w:p>
    <w:p w:rsidR="00D22C8D" w:rsidRDefault="00D22C8D">
      <w:pPr>
        <w:spacing w:after="120"/>
        <w:jc w:val="both"/>
        <w:rPr>
          <w:sz w:val="24"/>
          <w:szCs w:val="24"/>
        </w:rPr>
      </w:pPr>
      <w:r>
        <w:rPr>
          <w:rFonts w:ascii="Palatino Linotype" w:hAnsi="Palatino Linotype" w:cs="Palatino Linotype"/>
          <w:sz w:val="24"/>
          <w:szCs w:val="24"/>
        </w:rPr>
        <w:t>Przy użytkowaniu systemów teleinformatycznych dedykowanych do realizacji określonych wyspecjalizowanych usług oraz spraw, do dokumentacji o charakterze pomocniczym, napływającej i powstającej w związku z użytkowaniem tych systemów stosuje się przepisy instrukcji, o ile w przepisach dotyczących obsługi tych systemów i prowadzenia czynności w tych systemach nie wskazano innego sposobu prowadzenia czynności kancelaryjnych. Dokumentacji, o której mowa w zdaniu poprzedzającym, nie ujmuje się w rejestrach przesyłek przychodzących, wychodzących i wewnętrznych, pod warunkiem, że w systemach tych możliwa jest analogiczna rejestracja, jaką przewidziano dla tych rejestrów.</w:t>
      </w:r>
    </w:p>
    <w:p w:rsidR="004A380F" w:rsidRDefault="004A380F">
      <w:pPr>
        <w:spacing w:before="120" w:after="120"/>
        <w:jc w:val="center"/>
        <w:rPr>
          <w:sz w:val="24"/>
          <w:szCs w:val="24"/>
        </w:rPr>
      </w:pPr>
    </w:p>
    <w:p w:rsidR="004A380F" w:rsidRDefault="004A380F">
      <w:pPr>
        <w:spacing w:before="120" w:after="120"/>
        <w:jc w:val="center"/>
        <w:rPr>
          <w:sz w:val="24"/>
          <w:szCs w:val="24"/>
        </w:rPr>
      </w:pPr>
    </w:p>
    <w:p w:rsidR="00D22C8D" w:rsidRDefault="00D22C8D">
      <w:pPr>
        <w:spacing w:before="120" w:after="120"/>
        <w:jc w:val="center"/>
        <w:rPr>
          <w:rFonts w:ascii="Palatino Linotype" w:hAnsi="Palatino Linotype" w:cs="Palatino Linotype"/>
          <w:sz w:val="24"/>
          <w:szCs w:val="24"/>
        </w:rPr>
      </w:pPr>
      <w:r>
        <w:rPr>
          <w:sz w:val="24"/>
          <w:szCs w:val="24"/>
        </w:rPr>
        <w:lastRenderedPageBreak/>
        <w:t>§</w:t>
      </w:r>
      <w:r>
        <w:rPr>
          <w:rFonts w:ascii="Palatino Linotype" w:hAnsi="Palatino Linotype" w:cs="Palatino Linotype"/>
          <w:sz w:val="24"/>
          <w:szCs w:val="24"/>
        </w:rPr>
        <w:t xml:space="preserve"> 3.</w:t>
      </w:r>
    </w:p>
    <w:p w:rsidR="00D22C8D" w:rsidRDefault="00D22C8D">
      <w:pPr>
        <w:jc w:val="both"/>
        <w:rPr>
          <w:rFonts w:ascii="Palatino Linotype" w:hAnsi="Palatino Linotype" w:cs="Palatino Linotype"/>
          <w:sz w:val="24"/>
          <w:szCs w:val="24"/>
        </w:rPr>
      </w:pPr>
      <w:r>
        <w:rPr>
          <w:rFonts w:ascii="Palatino Linotype" w:hAnsi="Palatino Linotype" w:cs="Palatino Linotype"/>
          <w:sz w:val="24"/>
          <w:szCs w:val="24"/>
        </w:rPr>
        <w:t>Użyte w instrukcji określenia oznaczają:</w:t>
      </w:r>
    </w:p>
    <w:tbl>
      <w:tblPr>
        <w:tblW w:w="0" w:type="auto"/>
        <w:tblInd w:w="70" w:type="dxa"/>
        <w:tblLayout w:type="fixed"/>
        <w:tblCellMar>
          <w:left w:w="70" w:type="dxa"/>
          <w:right w:w="70" w:type="dxa"/>
        </w:tblCellMar>
        <w:tblLook w:val="0000"/>
      </w:tblPr>
      <w:tblGrid>
        <w:gridCol w:w="426"/>
        <w:gridCol w:w="2551"/>
        <w:gridCol w:w="6237"/>
      </w:tblGrid>
      <w:tr w:rsidR="00D22C8D">
        <w:trPr>
          <w:trHeight w:val="758"/>
        </w:trPr>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akceptacja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wyrażenie zgody przez osobę uprawnioną dla sposobu załatwienia sprawy lub aprobatę treści pisma;</w:t>
            </w:r>
          </w:p>
        </w:tc>
      </w:tr>
      <w:tr w:rsidR="00D22C8D">
        <w:trPr>
          <w:trHeight w:val="1707"/>
        </w:trPr>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akta sprawy</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dokumentację, w szczególności tekstową, fotograficzną, rysunkową, dźwiękową, filmową, multimedialną, zawierającą informacje potrzebne przy rozpatrywaniu danej sprawy oraz odzwierciedlającą przebieg jej załatwiania i rozstrzygania;</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archiwista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pracownika lub pracowników realizujących zadania składnicy akt;</w:t>
            </w:r>
          </w:p>
        </w:tc>
      </w:tr>
      <w:tr w:rsidR="00D22C8D">
        <w:trPr>
          <w:trHeight w:val="525"/>
        </w:trPr>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Arial"/>
                <w:sz w:val="24"/>
              </w:rPr>
            </w:pPr>
            <w:r>
              <w:rPr>
                <w:rFonts w:ascii="Palatino Linotype" w:hAnsi="Palatino Linotype" w:cs="Palatino Linotype"/>
                <w:b/>
                <w:sz w:val="24"/>
                <w:szCs w:val="24"/>
              </w:rPr>
              <w:t>archiwum zakładowe</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Arial"/>
                <w:sz w:val="24"/>
              </w:rPr>
              <w:t>komórka organizacyjna w której przechowywane są akta spraw zakończonych ze przekazane ze wszystkich komórek organizacyjnych, w tym materiały archiwalne. Archiwa zakładowe tworzy się w jednostkach w których powstają materiały archiwalne (dokumentacja kat. A). W pozostałych jednostkach funkcje archiwum zakładowego pełnią składnice akt</w:t>
            </w:r>
            <w:r>
              <w:rPr>
                <w:rFonts w:ascii="Arial" w:hAnsi="Arial" w:cs="Arial"/>
                <w:sz w:val="24"/>
              </w:rPr>
              <w:t>.</w:t>
            </w:r>
            <w:r>
              <w:rPr>
                <w:rFonts w:ascii="Palatino Linotype" w:hAnsi="Palatino Linotype" w:cs="Palatino Linotype"/>
                <w:sz w:val="24"/>
                <w:szCs w:val="24"/>
              </w:rPr>
              <w:t>;</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dekretacja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 xml:space="preserve">adnotację zawierającą wskazanie osoby lub komórki organizacyjnej, wyznaczonej do załatwienia sprawy, która może zawierać dyspozycje co do terminu i sposobu załatwienia sprawy; </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ESP</w:t>
            </w:r>
          </w:p>
        </w:tc>
        <w:tc>
          <w:tcPr>
            <w:tcW w:w="6237" w:type="dxa"/>
            <w:shd w:val="clear" w:color="auto" w:fill="auto"/>
          </w:tcPr>
          <w:p w:rsidR="00D22C8D" w:rsidRDefault="00D22C8D">
            <w:pPr>
              <w:numPr>
                <w:ilvl w:val="0"/>
                <w:numId w:val="70"/>
              </w:numPr>
              <w:spacing w:before="80" w:after="80"/>
              <w:jc w:val="both"/>
            </w:pPr>
            <w:r>
              <w:rPr>
                <w:rFonts w:ascii="Palatino Linotype" w:hAnsi="Palatino Linotype" w:cs="Palatino Linotype"/>
                <w:sz w:val="24"/>
                <w:szCs w:val="24"/>
              </w:rPr>
              <w:t>elektroniczną skrzynkę podawczą, w rozumieniu przepisów ustawy z dnia 17 lutego 2005 r. o informatyzacji działalności podmiotów realizujących zadania publiczne (Dz. U. 2017, poz. 570, z późn. zm.), zwanej dalej: „ustawą o informatyzacji”;</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informatyczny nośnik danych</w:t>
            </w:r>
          </w:p>
        </w:tc>
        <w:tc>
          <w:tcPr>
            <w:tcW w:w="6237" w:type="dxa"/>
            <w:shd w:val="clear" w:color="auto" w:fill="auto"/>
          </w:tcPr>
          <w:p w:rsidR="00D22C8D" w:rsidRDefault="00D22C8D">
            <w:pPr>
              <w:numPr>
                <w:ilvl w:val="0"/>
                <w:numId w:val="70"/>
              </w:numPr>
              <w:spacing w:before="80" w:after="80"/>
              <w:jc w:val="both"/>
            </w:pPr>
            <w:r>
              <w:rPr>
                <w:rFonts w:ascii="Palatino Linotype" w:hAnsi="Palatino Linotype" w:cs="Palatino Linotype"/>
                <w:sz w:val="24"/>
                <w:szCs w:val="24"/>
              </w:rPr>
              <w:t>informatyczny nośnik danych, na którym zapisano dokumentację w postaci elektronicznej;</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kierownik komórki organizacyjnej</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osobę kierującą komórką organizacyjną lub osobę upoważnioną do wykonywania jej zadań, także osobę zajmującą samodzielne stanowisko pracy;</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komórka organizacyjna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wydzieloną organizacyjnie część</w:t>
            </w:r>
            <w:r w:rsidR="004A380F">
              <w:rPr>
                <w:rFonts w:ascii="Palatino Linotype" w:hAnsi="Palatino Linotype" w:cs="Palatino Linotype"/>
                <w:sz w:val="24"/>
                <w:szCs w:val="24"/>
              </w:rPr>
              <w:t xml:space="preserve"> MP37</w:t>
            </w:r>
            <w:r>
              <w:rPr>
                <w:rFonts w:ascii="Palatino Linotype" w:hAnsi="Palatino Linotype" w:cs="Palatino Linotype"/>
                <w:i/>
                <w:sz w:val="24"/>
                <w:szCs w:val="24"/>
              </w:rPr>
              <w:t xml:space="preserve"> np.:  </w:t>
            </w:r>
            <w:r>
              <w:rPr>
                <w:rFonts w:ascii="Palatino Linotype" w:hAnsi="Palatino Linotype" w:cs="Palatino Linotype"/>
                <w:sz w:val="24"/>
                <w:szCs w:val="22"/>
              </w:rPr>
              <w:t>referat, samodzielne stanowisko pracy</w:t>
            </w:r>
            <w:r>
              <w:rPr>
                <w:rFonts w:ascii="Palatino Linotype" w:hAnsi="Palatino Linotype" w:cs="Palatino Linotype"/>
                <w:sz w:val="24"/>
                <w:szCs w:val="24"/>
              </w:rPr>
              <w:t>;</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Calibri"/>
                <w:sz w:val="24"/>
                <w:szCs w:val="24"/>
              </w:rPr>
            </w:pPr>
            <w:r>
              <w:rPr>
                <w:rFonts w:ascii="Palatino Linotype" w:hAnsi="Palatino Linotype" w:cs="Palatino Linotype"/>
                <w:b/>
                <w:sz w:val="24"/>
                <w:szCs w:val="24"/>
              </w:rPr>
              <w:t>pieczęć wpływu</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Calibri"/>
                <w:sz w:val="24"/>
                <w:szCs w:val="24"/>
              </w:rPr>
              <w:t>odcisk pieczęci lub nadruk umieszczany przez punkt kancelaryjny na przesyłkach wpływających w postaci papierowej, zawierający co najmniej nazwę</w:t>
            </w:r>
            <w:r w:rsidR="004A380F">
              <w:rPr>
                <w:rFonts w:ascii="Palatino Linotype" w:hAnsi="Palatino Linotype" w:cs="Calibri"/>
                <w:sz w:val="24"/>
                <w:szCs w:val="24"/>
              </w:rPr>
              <w:t xml:space="preserve"> MP37</w:t>
            </w:r>
            <w:r>
              <w:rPr>
                <w:rFonts w:ascii="Palatino Linotype" w:hAnsi="Palatino Linotype" w:cs="Calibri"/>
                <w:sz w:val="24"/>
                <w:szCs w:val="24"/>
              </w:rPr>
              <w:t>, nazwę komórki organizacyjnej w której znajduje się dany punkt kancelaryjny, datę wpływu, a także miejsce na umieszczanie numeru z rejestru przesyłek wpływających i ewentualnie informacji o liczbie załączników;</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Calibri"/>
                <w:sz w:val="24"/>
                <w:szCs w:val="24"/>
              </w:rPr>
            </w:pPr>
            <w:r>
              <w:rPr>
                <w:rFonts w:ascii="Palatino Linotype" w:hAnsi="Palatino Linotype" w:cs="Palatino Linotype"/>
                <w:b/>
                <w:sz w:val="24"/>
                <w:szCs w:val="24"/>
              </w:rPr>
              <w:t>pieczęć wysyłki</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Calibri"/>
                <w:sz w:val="24"/>
                <w:szCs w:val="24"/>
              </w:rPr>
              <w:t>odcisk pieczęci lub nadruk umieszczany przez punkt kancelaryjny na przesyłkach wychodzących w postaci papierowej, zawierający co najmniej nazwę</w:t>
            </w:r>
            <w:r w:rsidR="004A380F">
              <w:rPr>
                <w:rFonts w:ascii="Palatino Linotype" w:hAnsi="Palatino Linotype" w:cs="Calibri"/>
                <w:sz w:val="24"/>
                <w:szCs w:val="24"/>
              </w:rPr>
              <w:t xml:space="preserve"> MP37</w:t>
            </w:r>
            <w:r>
              <w:rPr>
                <w:rFonts w:ascii="Palatino Linotype" w:hAnsi="Palatino Linotype" w:cs="Calibri"/>
                <w:sz w:val="24"/>
                <w:szCs w:val="24"/>
              </w:rPr>
              <w:t>, nazwę komórki organizacyjnej w której znajduje się dany punkt kancelaryjny, datę wysyłki, a także miejsce na umieszczanie numeru z rejestru przesyłek wychodzących i ewentualnie informacji o liczbie załączników;</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pismo</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wyrażoną tekstem informację, stanowiącą odrębną całość znaczeniową, niezależnie od sposobu jej utrwalenia, np. pismo przewodnie, notatka, protokół, decyzja, postanowienie;</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Calibri"/>
                <w:sz w:val="24"/>
                <w:szCs w:val="24"/>
              </w:rPr>
            </w:pPr>
            <w:r>
              <w:rPr>
                <w:rFonts w:ascii="Palatino Linotype" w:hAnsi="Palatino Linotype" w:cs="Palatino Linotype"/>
                <w:b/>
                <w:sz w:val="24"/>
                <w:szCs w:val="24"/>
              </w:rPr>
              <w:t>prowadzący sprawę</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Calibri"/>
                <w:sz w:val="24"/>
                <w:szCs w:val="24"/>
              </w:rPr>
              <w:t>osobę załatwiającą merytorycznie daną sprawę, realizującą w tym zakresie przewidziane czynności kancelaryjne;</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Calibri"/>
                <w:sz w:val="24"/>
                <w:szCs w:val="24"/>
              </w:rPr>
            </w:pPr>
            <w:r>
              <w:rPr>
                <w:rFonts w:ascii="Palatino Linotype" w:hAnsi="Palatino Linotype" w:cs="Palatino Linotype"/>
                <w:b/>
                <w:sz w:val="24"/>
                <w:szCs w:val="24"/>
              </w:rPr>
              <w:t>przesyłka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Calibri"/>
                <w:sz w:val="24"/>
                <w:szCs w:val="24"/>
              </w:rPr>
              <w:t>dokumentację otrzymaną lub wysłaną przez</w:t>
            </w:r>
            <w:r w:rsidR="004A380F">
              <w:rPr>
                <w:rFonts w:ascii="Palatino Linotype" w:hAnsi="Palatino Linotype" w:cs="Calibri"/>
                <w:sz w:val="24"/>
                <w:szCs w:val="24"/>
              </w:rPr>
              <w:t xml:space="preserve"> MP37,</w:t>
            </w:r>
            <w:r>
              <w:rPr>
                <w:rFonts w:ascii="Palatino Linotype" w:hAnsi="Palatino Linotype" w:cs="Calibri"/>
                <w:sz w:val="24"/>
                <w:szCs w:val="24"/>
              </w:rPr>
              <w:t xml:space="preserve"> w każdy możliwy sposób, w tym dokumenty elektroniczne przesyłane za pośrednictwem ESP;</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punkt kancelaryjny</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komórkę organizacyjną, w tym sekretariat, kancelarię, stanowisko pracy, których pracownicy są uprawnieni do przyjmowania lub wysyłania przesyłek; także osobę wykonującą określone czynności kancelaryjne;</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rejestr</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narzędzie służące do rejestrowania pojedynczych przesyłek lub pism pod kątem ich typu lub rodzaju;</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rejestr przesyłek wpływających</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rejestr służący do ewidencjonowania w kolejności chronologicznej przesyłek otrzymywanych przez</w:t>
            </w:r>
            <w:r w:rsidR="004A380F">
              <w:rPr>
                <w:rFonts w:ascii="Palatino Linotype" w:hAnsi="Palatino Linotype" w:cs="Palatino Linotype"/>
                <w:sz w:val="24"/>
                <w:szCs w:val="24"/>
              </w:rPr>
              <w:t xml:space="preserve"> MP37</w:t>
            </w:r>
            <w:r>
              <w:rPr>
                <w:rFonts w:ascii="Palatino Linotype" w:hAnsi="Palatino Linotype" w:cs="Palatino Linotype"/>
                <w:sz w:val="24"/>
                <w:szCs w:val="24"/>
              </w:rPr>
              <w:t>;</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rejestr przesyłek wychodzących</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 xml:space="preserve">rejestr służący do ewidencjonowania w kolejności chronologicznej przesyłek wysyłanych </w:t>
            </w:r>
            <w:r>
              <w:rPr>
                <w:rFonts w:ascii="Palatino Linotype" w:hAnsi="Palatino Linotype" w:cs="Palatino Linotype"/>
                <w:sz w:val="24"/>
                <w:szCs w:val="24"/>
              </w:rPr>
              <w:lastRenderedPageBreak/>
              <w:t>(wydawanych) przez</w:t>
            </w:r>
            <w:r w:rsidR="004A380F">
              <w:rPr>
                <w:rFonts w:ascii="Palatino Linotype" w:hAnsi="Palatino Linotype" w:cs="Palatino Linotype"/>
                <w:sz w:val="24"/>
                <w:szCs w:val="24"/>
              </w:rPr>
              <w:t xml:space="preserve"> MP37;</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skład informatycznych nośników danych</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 xml:space="preserve">uporządkowany zbiór informatycznych nośników danych, na których jest zapisana dokumentacja w postaci elektronicznej; </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Arial"/>
                <w:sz w:val="24"/>
              </w:rPr>
            </w:pPr>
            <w:r>
              <w:rPr>
                <w:rFonts w:ascii="Palatino Linotype" w:hAnsi="Palatino Linotype" w:cs="Palatino Linotype"/>
                <w:b/>
                <w:sz w:val="24"/>
                <w:szCs w:val="24"/>
              </w:rPr>
              <w:t>składnica akt</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Arial"/>
                <w:sz w:val="24"/>
              </w:rPr>
              <w:t>komórka organizacyjna w której przechowywane są akta spraw zakończonych ze przekazane ze wszystkich komórek organizacyjnych. Składnice akt prowadzi się w jednostkach nie tworzących materiałów archiwalnych. Tutaj: składnica akt</w:t>
            </w:r>
            <w:r w:rsidR="006B2B93">
              <w:rPr>
                <w:rFonts w:ascii="Palatino Linotype" w:hAnsi="Palatino Linotype" w:cs="Arial"/>
                <w:sz w:val="24"/>
              </w:rPr>
              <w:t xml:space="preserve"> MP37;</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spis spraw</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formularz w postaci papierowej albo spis elektroniczny, do rejestrowania spraw w obrębie klasy z wykazu akt w roku kalendarzowym w danej komórce merytorycznej;</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sprawa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zdarzenie lub stan rzeczy, w tym z zakresu postępowania administracyjnego, wymagające rozpatrzenia i podjęcia czynności służbowych lub przyjęcia do wiadomości;</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teczka aktowa</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materiał biurowy do przechowywania dokumentacji w postaci nieelektronicznej;</w:t>
            </w:r>
          </w:p>
        </w:tc>
      </w:tr>
      <w:tr w:rsidR="00D22C8D">
        <w:tc>
          <w:tcPr>
            <w:tcW w:w="426" w:type="dxa"/>
            <w:shd w:val="clear" w:color="auto" w:fill="auto"/>
          </w:tcPr>
          <w:p w:rsidR="00D22C8D" w:rsidRDefault="00D22C8D">
            <w:pPr>
              <w:numPr>
                <w:ilvl w:val="0"/>
                <w:numId w:val="51"/>
              </w:numPr>
              <w:snapToGrid w:val="0"/>
              <w:spacing w:before="80" w:after="80"/>
              <w:jc w:val="right"/>
              <w:rPr>
                <w:rFonts w:ascii="Palatino Linotype" w:hAnsi="Palatino Linotype" w:cs="Palatino Linotype"/>
                <w:sz w:val="24"/>
                <w:szCs w:val="24"/>
              </w:rPr>
            </w:pPr>
          </w:p>
        </w:tc>
        <w:tc>
          <w:tcPr>
            <w:tcW w:w="2551" w:type="dxa"/>
            <w:shd w:val="clear" w:color="auto" w:fill="auto"/>
          </w:tcPr>
          <w:p w:rsidR="00D22C8D" w:rsidRDefault="00D22C8D">
            <w:pPr>
              <w:spacing w:before="80" w:after="80"/>
              <w:rPr>
                <w:rFonts w:ascii="Palatino Linotype" w:hAnsi="Palatino Linotype" w:cs="Palatino Linotype"/>
                <w:sz w:val="24"/>
                <w:szCs w:val="24"/>
              </w:rPr>
            </w:pPr>
            <w:r>
              <w:rPr>
                <w:rFonts w:ascii="Palatino Linotype" w:hAnsi="Palatino Linotype" w:cs="Palatino Linotype"/>
                <w:b/>
                <w:sz w:val="24"/>
                <w:szCs w:val="24"/>
              </w:rPr>
              <w:t>UPO</w:t>
            </w:r>
          </w:p>
        </w:tc>
        <w:tc>
          <w:tcPr>
            <w:tcW w:w="6237" w:type="dxa"/>
            <w:shd w:val="clear" w:color="auto" w:fill="auto"/>
          </w:tcPr>
          <w:p w:rsidR="00D22C8D" w:rsidRDefault="00D22C8D">
            <w:pPr>
              <w:numPr>
                <w:ilvl w:val="0"/>
                <w:numId w:val="32"/>
              </w:numPr>
              <w:spacing w:before="80" w:after="80"/>
              <w:jc w:val="both"/>
            </w:pPr>
            <w:r>
              <w:rPr>
                <w:rFonts w:ascii="Palatino Linotype" w:hAnsi="Palatino Linotype" w:cs="Palatino Linotype"/>
                <w:sz w:val="24"/>
                <w:szCs w:val="24"/>
              </w:rPr>
              <w:t>urzędowe poświadczenie odbioru, w rozumieniu przepisów ustawy o informatyzacji.</w:t>
            </w:r>
          </w:p>
        </w:tc>
      </w:tr>
    </w:tbl>
    <w:p w:rsidR="00D22C8D" w:rsidRDefault="00D22C8D">
      <w:pPr>
        <w:spacing w:after="120"/>
        <w:rPr>
          <w:rFonts w:ascii="Palatino Linotype" w:hAnsi="Palatino Linotype" w:cs="Palatino Linotype"/>
          <w:b/>
          <w:caps/>
          <w:sz w:val="24"/>
          <w:szCs w:val="24"/>
        </w:rPr>
      </w:pPr>
    </w:p>
    <w:p w:rsidR="00D22C8D" w:rsidRDefault="00D22C8D">
      <w:pPr>
        <w:spacing w:before="120" w:after="120"/>
        <w:jc w:val="center"/>
        <w:rPr>
          <w:rFonts w:ascii="Palatino Linotype" w:hAnsi="Palatino Linotype" w:cs="Palatino Linotype"/>
          <w:sz w:val="24"/>
          <w:szCs w:val="24"/>
        </w:rPr>
      </w:pPr>
      <w:r>
        <w:rPr>
          <w:rFonts w:ascii="Palatino Linotype" w:hAnsi="Palatino Linotype" w:cs="Palatino Linotype"/>
          <w:caps/>
          <w:sz w:val="24"/>
          <w:szCs w:val="24"/>
        </w:rPr>
        <w:t>§ 4.</w:t>
      </w:r>
    </w:p>
    <w:p w:rsidR="00D22C8D" w:rsidRDefault="00D22C8D">
      <w:pPr>
        <w:numPr>
          <w:ilvl w:val="0"/>
          <w:numId w:val="3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w:t>
      </w:r>
      <w:r w:rsidR="006B2B93">
        <w:rPr>
          <w:rFonts w:ascii="Palatino Linotype" w:hAnsi="Palatino Linotype" w:cs="Palatino Linotype"/>
          <w:sz w:val="24"/>
          <w:szCs w:val="24"/>
        </w:rPr>
        <w:t xml:space="preserve"> MP37</w:t>
      </w:r>
      <w:r>
        <w:rPr>
          <w:rFonts w:ascii="Palatino Linotype" w:hAnsi="Palatino Linotype" w:cs="Palatino Linotype"/>
          <w:i/>
          <w:sz w:val="24"/>
          <w:szCs w:val="24"/>
        </w:rPr>
        <w:t xml:space="preserve"> </w:t>
      </w:r>
      <w:r>
        <w:rPr>
          <w:rFonts w:ascii="Palatino Linotype" w:hAnsi="Palatino Linotype" w:cs="Palatino Linotype"/>
          <w:sz w:val="24"/>
          <w:szCs w:val="24"/>
        </w:rPr>
        <w:t>obowiązuje bezdziennikowy system kancelaryjny, oparty na jednolitym rzeczowym wykazie akt, zwanym dalej „wykazem akt”.</w:t>
      </w:r>
    </w:p>
    <w:p w:rsidR="00D22C8D" w:rsidRDefault="00D22C8D">
      <w:pPr>
        <w:numPr>
          <w:ilvl w:val="0"/>
          <w:numId w:val="3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Wykaz akt stanowi podstawę oznaczania, rejestracji i łączenia dokumentacji w akta spraw oraz grupowania dokumentacji nietworzącej akt spraw.</w:t>
      </w:r>
    </w:p>
    <w:p w:rsidR="00D22C8D" w:rsidRDefault="00D22C8D">
      <w:pPr>
        <w:numPr>
          <w:ilvl w:val="0"/>
          <w:numId w:val="36"/>
        </w:numPr>
        <w:spacing w:after="120"/>
        <w:ind w:left="284" w:hanging="284"/>
        <w:jc w:val="both"/>
        <w:rPr>
          <w:rFonts w:ascii="Palatino Linotype" w:hAnsi="Palatino Linotype" w:cs="Palatino Linotype"/>
          <w:caps/>
          <w:sz w:val="24"/>
          <w:szCs w:val="24"/>
        </w:rPr>
      </w:pPr>
      <w:r>
        <w:rPr>
          <w:rFonts w:ascii="Palatino Linotype" w:hAnsi="Palatino Linotype" w:cs="Palatino Linotype"/>
          <w:sz w:val="24"/>
          <w:szCs w:val="24"/>
        </w:rPr>
        <w:t>Czynności, o których mowa w ust. 2, dokonywane są przy wszczynaniu spraw w </w:t>
      </w:r>
      <w:r w:rsidR="006B2B93">
        <w:rPr>
          <w:rFonts w:ascii="Palatino Linotype" w:hAnsi="Palatino Linotype" w:cs="Palatino Linotype"/>
          <w:sz w:val="24"/>
          <w:szCs w:val="24"/>
        </w:rPr>
        <w:t>MP37</w:t>
      </w:r>
      <w:r>
        <w:rPr>
          <w:rFonts w:ascii="Palatino Linotype" w:hAnsi="Palatino Linotype" w:cs="Palatino Linotype"/>
          <w:sz w:val="24"/>
          <w:szCs w:val="24"/>
        </w:rPr>
        <w:t xml:space="preserve"> i skutkują ustaleniem kwalifikacji archiwalnej dokumentacji.</w:t>
      </w:r>
    </w:p>
    <w:p w:rsidR="00D22C8D" w:rsidRDefault="00D22C8D">
      <w:pPr>
        <w:spacing w:before="120" w:after="120"/>
        <w:jc w:val="center"/>
        <w:rPr>
          <w:rStyle w:val="FontStyle51"/>
          <w:rFonts w:ascii="Palatino Linotype" w:hAnsi="Palatino Linotype" w:cs="Calibri"/>
          <w:sz w:val="24"/>
          <w:szCs w:val="24"/>
        </w:rPr>
      </w:pPr>
      <w:r>
        <w:rPr>
          <w:rFonts w:ascii="Palatino Linotype" w:hAnsi="Palatino Linotype" w:cs="Palatino Linotype"/>
          <w:caps/>
          <w:sz w:val="24"/>
          <w:szCs w:val="24"/>
        </w:rPr>
        <w:t>§ 5.</w:t>
      </w:r>
    </w:p>
    <w:p w:rsidR="00D22C8D" w:rsidRDefault="00D22C8D">
      <w:pPr>
        <w:numPr>
          <w:ilvl w:val="0"/>
          <w:numId w:val="65"/>
        </w:numPr>
        <w:spacing w:before="60"/>
        <w:ind w:left="425" w:hanging="425"/>
        <w:jc w:val="both"/>
        <w:rPr>
          <w:rStyle w:val="FontStyle51"/>
          <w:rFonts w:ascii="Palatino Linotype" w:hAnsi="Palatino Linotype" w:cs="Calibri"/>
          <w:sz w:val="24"/>
          <w:szCs w:val="24"/>
        </w:rPr>
      </w:pPr>
      <w:r>
        <w:rPr>
          <w:rStyle w:val="FontStyle51"/>
          <w:rFonts w:ascii="Palatino Linotype" w:hAnsi="Palatino Linotype" w:cs="Calibri"/>
          <w:sz w:val="24"/>
          <w:szCs w:val="24"/>
        </w:rPr>
        <w:t>Jeżeli w działalnośc</w:t>
      </w:r>
      <w:r w:rsidR="006B2B93">
        <w:rPr>
          <w:rStyle w:val="FontStyle51"/>
          <w:rFonts w:ascii="Palatino Linotype" w:hAnsi="Palatino Linotype" w:cs="Calibri"/>
          <w:sz w:val="24"/>
          <w:szCs w:val="24"/>
        </w:rPr>
        <w:t>i MP37</w:t>
      </w:r>
      <w:r>
        <w:rPr>
          <w:rFonts w:ascii="Palatino Linotype" w:hAnsi="Palatino Linotype" w:cs="Palatino Linotype"/>
          <w:i/>
          <w:sz w:val="24"/>
          <w:szCs w:val="24"/>
        </w:rPr>
        <w:t xml:space="preserve"> </w:t>
      </w:r>
      <w:r>
        <w:rPr>
          <w:rStyle w:val="FontStyle51"/>
          <w:rFonts w:ascii="Palatino Linotype" w:hAnsi="Palatino Linotype" w:cs="Calibri"/>
          <w:sz w:val="24"/>
          <w:szCs w:val="24"/>
        </w:rPr>
        <w:t>pojawią się nowe zadania, klasy w wykazie akt odpowiadające tym zadaniom, wprowadza się przed pojawieniem się dokumentacji związanej z realizacją tych zadań lub niezwłocznie po nałożeniu tych zadań na</w:t>
      </w:r>
      <w:r w:rsidR="006B2B93">
        <w:rPr>
          <w:rStyle w:val="FontStyle51"/>
          <w:rFonts w:ascii="Palatino Linotype" w:hAnsi="Palatino Linotype" w:cs="Calibri"/>
          <w:sz w:val="24"/>
          <w:szCs w:val="24"/>
        </w:rPr>
        <w:t xml:space="preserve"> MP37</w:t>
      </w:r>
      <w:r>
        <w:rPr>
          <w:rStyle w:val="FontStyle51"/>
          <w:rFonts w:ascii="Palatino Linotype" w:hAnsi="Palatino Linotype" w:cs="Calibri"/>
          <w:sz w:val="24"/>
          <w:szCs w:val="24"/>
        </w:rPr>
        <w:t>.</w:t>
      </w:r>
    </w:p>
    <w:p w:rsidR="00D22C8D" w:rsidRDefault="00D22C8D">
      <w:pPr>
        <w:numPr>
          <w:ilvl w:val="0"/>
          <w:numId w:val="65"/>
        </w:numPr>
        <w:spacing w:before="60" w:after="120"/>
        <w:ind w:left="425" w:hanging="425"/>
        <w:jc w:val="both"/>
        <w:rPr>
          <w:sz w:val="24"/>
          <w:szCs w:val="24"/>
        </w:rPr>
      </w:pPr>
      <w:r>
        <w:rPr>
          <w:rStyle w:val="FontStyle51"/>
          <w:rFonts w:ascii="Palatino Linotype" w:hAnsi="Palatino Linotype" w:cs="Calibri"/>
          <w:sz w:val="24"/>
          <w:szCs w:val="24"/>
        </w:rPr>
        <w:t>Zmiany w wykazie akt polegające na przekształceniu lub dodaniu nowych klas dokonuje się w trybie właściwym dla jego wydania.</w:t>
      </w:r>
      <w:r>
        <w:rPr>
          <w:rFonts w:ascii="Palatino Linotype" w:hAnsi="Palatino Linotype" w:cs="Calibri"/>
          <w:sz w:val="24"/>
          <w:szCs w:val="24"/>
        </w:rPr>
        <w:t xml:space="preserve"> </w:t>
      </w:r>
    </w:p>
    <w:p w:rsidR="006B2B93" w:rsidRDefault="006B2B93">
      <w:pPr>
        <w:spacing w:before="120" w:after="120"/>
        <w:jc w:val="center"/>
        <w:rPr>
          <w:sz w:val="24"/>
          <w:szCs w:val="24"/>
        </w:rPr>
      </w:pPr>
    </w:p>
    <w:p w:rsidR="00D22C8D" w:rsidRDefault="00D22C8D">
      <w:pPr>
        <w:spacing w:before="120" w:after="120"/>
        <w:jc w:val="center"/>
        <w:rPr>
          <w:rFonts w:ascii="Palatino Linotype" w:hAnsi="Palatino Linotype" w:cs="Palatino Linotype"/>
          <w:caps/>
          <w:sz w:val="24"/>
          <w:szCs w:val="24"/>
        </w:rPr>
      </w:pPr>
      <w:r>
        <w:rPr>
          <w:sz w:val="24"/>
          <w:szCs w:val="24"/>
        </w:rPr>
        <w:lastRenderedPageBreak/>
        <w:t>§</w:t>
      </w:r>
      <w:r>
        <w:rPr>
          <w:rFonts w:ascii="Palatino Linotype" w:hAnsi="Palatino Linotype" w:cs="Palatino Linotype"/>
          <w:sz w:val="24"/>
          <w:szCs w:val="24"/>
        </w:rPr>
        <w:t xml:space="preserve"> 6.</w:t>
      </w:r>
    </w:p>
    <w:p w:rsidR="00D22C8D" w:rsidRDefault="00D22C8D">
      <w:pPr>
        <w:numPr>
          <w:ilvl w:val="0"/>
          <w:numId w:val="56"/>
        </w:numPr>
        <w:spacing w:after="120"/>
        <w:ind w:left="284" w:hanging="284"/>
        <w:jc w:val="both"/>
        <w:rPr>
          <w:rFonts w:ascii="Palatino Linotype" w:hAnsi="Palatino Linotype" w:cs="Palatino Linotype"/>
          <w:sz w:val="24"/>
          <w:szCs w:val="24"/>
        </w:rPr>
      </w:pPr>
      <w:r>
        <w:rPr>
          <w:rFonts w:ascii="Palatino Linotype" w:hAnsi="Palatino Linotype" w:cs="Palatino Linotype"/>
          <w:caps/>
          <w:sz w:val="24"/>
          <w:szCs w:val="24"/>
        </w:rPr>
        <w:t xml:space="preserve">W </w:t>
      </w:r>
      <w:r>
        <w:rPr>
          <w:rFonts w:ascii="Palatino Linotype" w:hAnsi="Palatino Linotype" w:cs="Palatino Linotype"/>
          <w:sz w:val="24"/>
          <w:szCs w:val="24"/>
        </w:rPr>
        <w:t>wykazie akt ustala się kategorię archiwalną dla komórek merytorycznych.</w:t>
      </w:r>
    </w:p>
    <w:p w:rsidR="00D22C8D" w:rsidRDefault="00D22C8D">
      <w:pPr>
        <w:numPr>
          <w:ilvl w:val="0"/>
          <w:numId w:val="56"/>
        </w:numPr>
        <w:spacing w:after="120"/>
        <w:ind w:left="284" w:hanging="284"/>
        <w:jc w:val="both"/>
        <w:rPr>
          <w:sz w:val="24"/>
          <w:szCs w:val="24"/>
        </w:rPr>
      </w:pPr>
      <w:r>
        <w:rPr>
          <w:rFonts w:ascii="Palatino Linotype" w:hAnsi="Palatino Linotype" w:cs="Palatino Linotype"/>
          <w:sz w:val="24"/>
          <w:szCs w:val="24"/>
        </w:rPr>
        <w:t>Przez komórkę merytoryczną należy rozumieć komórkę organizacyjną, do której zadań należy prowadzenie i załatwienie danej sprawy i która w związku z tym zakłada sprawę i gromadzi całość akt sprawy lub grupuje dokumentację nietworzącą akt sprawy.</w:t>
      </w:r>
    </w:p>
    <w:p w:rsidR="00D22C8D" w:rsidRDefault="00D22C8D">
      <w:pPr>
        <w:spacing w:before="120" w:after="120"/>
        <w:jc w:val="center"/>
        <w:rPr>
          <w:rFonts w:ascii="Palatino Linotype" w:hAnsi="Palatino Linotype" w:cs="Palatino Linotype"/>
          <w:caps/>
          <w:sz w:val="24"/>
          <w:szCs w:val="24"/>
        </w:rPr>
      </w:pPr>
      <w:r>
        <w:rPr>
          <w:sz w:val="24"/>
          <w:szCs w:val="24"/>
        </w:rPr>
        <w:t>§</w:t>
      </w:r>
      <w:r>
        <w:rPr>
          <w:rFonts w:ascii="Palatino Linotype" w:hAnsi="Palatino Linotype" w:cs="Palatino Linotype"/>
          <w:sz w:val="24"/>
          <w:szCs w:val="24"/>
        </w:rPr>
        <w:t xml:space="preserve"> 7.</w:t>
      </w:r>
    </w:p>
    <w:p w:rsidR="00D22C8D" w:rsidRDefault="00D22C8D">
      <w:pPr>
        <w:numPr>
          <w:ilvl w:val="0"/>
          <w:numId w:val="72"/>
        </w:numPr>
        <w:tabs>
          <w:tab w:val="left" w:pos="0"/>
        </w:tabs>
        <w:spacing w:after="120"/>
        <w:ind w:left="284" w:hanging="284"/>
        <w:jc w:val="both"/>
        <w:rPr>
          <w:rFonts w:ascii="Palatino Linotype" w:hAnsi="Palatino Linotype" w:cs="Palatino Linotype"/>
          <w:sz w:val="24"/>
          <w:szCs w:val="24"/>
        </w:rPr>
      </w:pPr>
      <w:r>
        <w:rPr>
          <w:rFonts w:ascii="Palatino Linotype" w:hAnsi="Palatino Linotype" w:cs="Palatino Linotype"/>
          <w:caps/>
          <w:sz w:val="24"/>
          <w:szCs w:val="24"/>
        </w:rPr>
        <w:t>K</w:t>
      </w:r>
      <w:r>
        <w:rPr>
          <w:rFonts w:ascii="Palatino Linotype" w:hAnsi="Palatino Linotype" w:cs="Palatino Linotype"/>
          <w:sz w:val="24"/>
          <w:szCs w:val="24"/>
        </w:rPr>
        <w:t>omórka merytoryczna, współpracująca przy załatwianiu sprawy z innymi komórkami organizacyjnymi, informuje te komórki o znaku prowadzonej przez siebie sprawy.</w:t>
      </w:r>
    </w:p>
    <w:p w:rsidR="00D22C8D" w:rsidRDefault="00D22C8D">
      <w:pPr>
        <w:numPr>
          <w:ilvl w:val="0"/>
          <w:numId w:val="72"/>
        </w:numPr>
        <w:tabs>
          <w:tab w:val="left" w:pos="0"/>
        </w:tabs>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Opinie, notatki, stanowiska i inne rodzaje dokumentacji wynikające ze współpracy między komórkami organizacyjnymi komórki inne niż merytoryczne przekazują do akt sprawy komórki merytorycznej, używając znaku sprawy nadanego przez komórkę merytoryczną.</w:t>
      </w:r>
    </w:p>
    <w:p w:rsidR="00D22C8D" w:rsidRDefault="00D22C8D">
      <w:pPr>
        <w:numPr>
          <w:ilvl w:val="0"/>
          <w:numId w:val="72"/>
        </w:numPr>
        <w:tabs>
          <w:tab w:val="left" w:pos="0"/>
        </w:tabs>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o którym mowa w ust. 2, dopuszcza się odrębne zakładanie spraw w komórce innej niż merytoryczna.</w:t>
      </w:r>
    </w:p>
    <w:p w:rsidR="00D22C8D" w:rsidRDefault="00D22C8D">
      <w:pPr>
        <w:numPr>
          <w:ilvl w:val="0"/>
          <w:numId w:val="72"/>
        </w:numPr>
        <w:tabs>
          <w:tab w:val="left" w:pos="0"/>
        </w:tabs>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dokumentacja, o której mowa w ust. 2, została oznaczona znakiem sprawy w komórce organizacyjnej innej niż merytoryczna, to należy zakwalifikować ją do dokumentacji kategorii archiwalnej Bc.</w:t>
      </w:r>
    </w:p>
    <w:p w:rsidR="00D22C8D" w:rsidRDefault="00D22C8D">
      <w:pPr>
        <w:numPr>
          <w:ilvl w:val="0"/>
          <w:numId w:val="72"/>
        </w:numPr>
        <w:tabs>
          <w:tab w:val="left" w:pos="0"/>
        </w:tabs>
        <w:spacing w:after="120"/>
        <w:ind w:left="284" w:hanging="284"/>
        <w:jc w:val="both"/>
        <w:rPr>
          <w:sz w:val="24"/>
          <w:szCs w:val="24"/>
        </w:rPr>
      </w:pPr>
      <w:r>
        <w:rPr>
          <w:rFonts w:ascii="Palatino Linotype" w:hAnsi="Palatino Linotype" w:cs="Palatino Linotype"/>
          <w:sz w:val="24"/>
          <w:szCs w:val="24"/>
        </w:rPr>
        <w:t>Zmiany kwalifikacji dokumentacji, o której mowa w ust. 4, może dokonać dyrektor właściwego archiwum państwowego.</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8.</w:t>
      </w:r>
    </w:p>
    <w:p w:rsidR="00D22C8D" w:rsidRDefault="00D22C8D">
      <w:pPr>
        <w:numPr>
          <w:ilvl w:val="0"/>
          <w:numId w:val="62"/>
        </w:numPr>
        <w:spacing w:after="120"/>
        <w:jc w:val="both"/>
        <w:rPr>
          <w:rFonts w:ascii="Palatino Linotype" w:hAnsi="Palatino Linotype" w:cs="Palatino Linotype"/>
          <w:sz w:val="24"/>
          <w:szCs w:val="24"/>
        </w:rPr>
      </w:pPr>
      <w:r>
        <w:rPr>
          <w:rFonts w:ascii="Palatino Linotype" w:hAnsi="Palatino Linotype" w:cs="Palatino Linotype"/>
          <w:sz w:val="24"/>
          <w:szCs w:val="24"/>
        </w:rPr>
        <w:t>Czynności kancelaryjne oraz ich dokumentowanie wykonuje się w postaci nieelektronicznej, w szczególności:</w:t>
      </w:r>
    </w:p>
    <w:p w:rsidR="00D22C8D" w:rsidRDefault="00D22C8D">
      <w:pPr>
        <w:numPr>
          <w:ilvl w:val="0"/>
          <w:numId w:val="39"/>
        </w:numPr>
        <w:ind w:left="709" w:hanging="425"/>
        <w:jc w:val="both"/>
        <w:rPr>
          <w:rFonts w:ascii="Palatino Linotype" w:hAnsi="Palatino Linotype" w:cs="Palatino Linotype"/>
          <w:sz w:val="24"/>
          <w:szCs w:val="24"/>
        </w:rPr>
      </w:pPr>
      <w:r>
        <w:rPr>
          <w:rFonts w:ascii="Palatino Linotype" w:hAnsi="Palatino Linotype" w:cs="Palatino Linotype"/>
          <w:sz w:val="24"/>
          <w:szCs w:val="24"/>
        </w:rPr>
        <w:t>spisy spraw odkłada się do właściwych teczek aktowych;</w:t>
      </w:r>
    </w:p>
    <w:p w:rsidR="00D22C8D" w:rsidRDefault="00D22C8D">
      <w:pPr>
        <w:numPr>
          <w:ilvl w:val="0"/>
          <w:numId w:val="39"/>
        </w:numPr>
        <w:ind w:left="709" w:hanging="425"/>
        <w:jc w:val="both"/>
        <w:rPr>
          <w:rFonts w:ascii="Palatino Linotype" w:hAnsi="Palatino Linotype" w:cs="Palatino Linotype"/>
          <w:sz w:val="24"/>
          <w:szCs w:val="24"/>
        </w:rPr>
      </w:pPr>
      <w:r>
        <w:rPr>
          <w:rFonts w:ascii="Palatino Linotype" w:hAnsi="Palatino Linotype" w:cs="Palatino Linotype"/>
          <w:sz w:val="24"/>
          <w:szCs w:val="24"/>
        </w:rPr>
        <w:t>dekretacji i akceptacji dokonuje się na przesyłkach w postaci papierowej;</w:t>
      </w:r>
    </w:p>
    <w:p w:rsidR="00D22C8D" w:rsidRDefault="00D22C8D">
      <w:pPr>
        <w:numPr>
          <w:ilvl w:val="0"/>
          <w:numId w:val="39"/>
        </w:numPr>
        <w:ind w:left="709" w:hanging="425"/>
        <w:jc w:val="both"/>
        <w:rPr>
          <w:rFonts w:ascii="Palatino Linotype" w:hAnsi="Palatino Linotype" w:cs="Palatino Linotype"/>
          <w:sz w:val="24"/>
          <w:szCs w:val="24"/>
        </w:rPr>
      </w:pPr>
      <w:r>
        <w:rPr>
          <w:rFonts w:ascii="Palatino Linotype" w:hAnsi="Palatino Linotype" w:cs="Palatino Linotype"/>
          <w:sz w:val="24"/>
          <w:szCs w:val="24"/>
        </w:rPr>
        <w:t>całość dokumentacji gromadzi się i przechowuje w teczkach aktowych.</w:t>
      </w:r>
    </w:p>
    <w:p w:rsidR="00D22C8D" w:rsidRDefault="00D22C8D">
      <w:pPr>
        <w:numPr>
          <w:ilvl w:val="0"/>
          <w:numId w:val="62"/>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Dopuszcza się wykorzystanie narzędzi informatycznych w celu:</w:t>
      </w:r>
    </w:p>
    <w:p w:rsidR="00D22C8D" w:rsidRDefault="00D22C8D">
      <w:pPr>
        <w:numPr>
          <w:ilvl w:val="0"/>
          <w:numId w:val="14"/>
        </w:numPr>
        <w:ind w:left="709" w:hanging="425"/>
        <w:jc w:val="both"/>
        <w:rPr>
          <w:rFonts w:ascii="Palatino Linotype" w:hAnsi="Palatino Linotype" w:cs="Palatino Linotype"/>
          <w:sz w:val="24"/>
          <w:szCs w:val="24"/>
        </w:rPr>
      </w:pPr>
      <w:r>
        <w:rPr>
          <w:rFonts w:ascii="Palatino Linotype" w:hAnsi="Palatino Linotype" w:cs="Palatino Linotype"/>
          <w:sz w:val="24"/>
          <w:szCs w:val="24"/>
        </w:rPr>
        <w:t>prowadzenia rejestrów przesyłek wpływających i wychodzących oraz spisów spraw;</w:t>
      </w:r>
    </w:p>
    <w:p w:rsidR="00D22C8D" w:rsidRDefault="00D22C8D">
      <w:pPr>
        <w:numPr>
          <w:ilvl w:val="0"/>
          <w:numId w:val="14"/>
        </w:numPr>
        <w:ind w:left="709" w:hanging="425"/>
        <w:jc w:val="both"/>
        <w:rPr>
          <w:rFonts w:ascii="Palatino Linotype" w:hAnsi="Palatino Linotype" w:cs="Palatino Linotype"/>
          <w:sz w:val="24"/>
          <w:szCs w:val="24"/>
        </w:rPr>
      </w:pPr>
      <w:r>
        <w:rPr>
          <w:rFonts w:ascii="Palatino Linotype" w:hAnsi="Palatino Linotype" w:cs="Palatino Linotype"/>
          <w:sz w:val="24"/>
          <w:szCs w:val="24"/>
        </w:rPr>
        <w:t>prowadzenia innych, niż określone w pkt 1, rejestrów i ewidencji;</w:t>
      </w:r>
    </w:p>
    <w:p w:rsidR="00D22C8D" w:rsidRDefault="00D22C8D">
      <w:pPr>
        <w:numPr>
          <w:ilvl w:val="0"/>
          <w:numId w:val="14"/>
        </w:numPr>
        <w:ind w:left="709" w:hanging="425"/>
        <w:jc w:val="both"/>
        <w:rPr>
          <w:rFonts w:ascii="Palatino Linotype" w:hAnsi="Palatino Linotype" w:cs="Palatino Linotype"/>
          <w:sz w:val="24"/>
          <w:szCs w:val="24"/>
        </w:rPr>
      </w:pPr>
      <w:r>
        <w:rPr>
          <w:rFonts w:ascii="Palatino Linotype" w:hAnsi="Palatino Linotype" w:cs="Palatino Linotype"/>
          <w:sz w:val="24"/>
          <w:szCs w:val="24"/>
        </w:rPr>
        <w:t>udostępniania i rozpowszechniania pism wewnątrz własnej jednostki organizacyjnej;</w:t>
      </w:r>
    </w:p>
    <w:p w:rsidR="00D22C8D" w:rsidRDefault="00D22C8D">
      <w:pPr>
        <w:numPr>
          <w:ilvl w:val="0"/>
          <w:numId w:val="14"/>
        </w:numPr>
        <w:ind w:left="709" w:hanging="425"/>
        <w:jc w:val="both"/>
        <w:rPr>
          <w:rFonts w:ascii="Palatino Linotype" w:hAnsi="Palatino Linotype" w:cs="Palatino Linotype"/>
          <w:sz w:val="24"/>
          <w:szCs w:val="24"/>
        </w:rPr>
      </w:pPr>
      <w:r>
        <w:rPr>
          <w:rFonts w:ascii="Palatino Linotype" w:hAnsi="Palatino Linotype" w:cs="Palatino Linotype"/>
          <w:sz w:val="24"/>
          <w:szCs w:val="24"/>
        </w:rPr>
        <w:t>przesyłania przesyłek;</w:t>
      </w:r>
    </w:p>
    <w:p w:rsidR="00D22C8D" w:rsidRDefault="00D22C8D">
      <w:pPr>
        <w:numPr>
          <w:ilvl w:val="0"/>
          <w:numId w:val="14"/>
        </w:numPr>
        <w:ind w:left="709" w:hanging="425"/>
        <w:jc w:val="both"/>
        <w:rPr>
          <w:rFonts w:ascii="Palatino Linotype" w:hAnsi="Palatino Linotype" w:cs="Palatino Linotype"/>
          <w:sz w:val="24"/>
          <w:szCs w:val="24"/>
        </w:rPr>
      </w:pPr>
      <w:r>
        <w:rPr>
          <w:rFonts w:ascii="Palatino Linotype" w:hAnsi="Palatino Linotype" w:cs="Palatino Linotype"/>
          <w:sz w:val="24"/>
          <w:szCs w:val="24"/>
        </w:rPr>
        <w:t>dokonania dekretacji, pod warunkiem przeniesienia treści tej dekretacji na przesyłkę wraz z datą i podpisem osoby dokonującej przeniesienia tej treści.</w:t>
      </w:r>
    </w:p>
    <w:p w:rsidR="00D22C8D" w:rsidRDefault="00D22C8D">
      <w:pPr>
        <w:numPr>
          <w:ilvl w:val="0"/>
          <w:numId w:val="62"/>
        </w:numPr>
        <w:spacing w:before="120" w:after="120"/>
        <w:ind w:left="284" w:hanging="284"/>
        <w:jc w:val="both"/>
        <w:rPr>
          <w:sz w:val="24"/>
          <w:szCs w:val="24"/>
        </w:rPr>
      </w:pPr>
      <w:r>
        <w:rPr>
          <w:rFonts w:ascii="Palatino Linotype" w:hAnsi="Palatino Linotype" w:cs="Palatino Linotype"/>
          <w:sz w:val="24"/>
          <w:szCs w:val="24"/>
        </w:rPr>
        <w:t xml:space="preserve">Wykorzystanie narzędzi informatycznych, o którym mowa w ust. 2, jest możliwe pod warunkiem zapewnienia ochrony przed utratą rejestrów, ewidencji oraz </w:t>
      </w:r>
      <w:r>
        <w:rPr>
          <w:rFonts w:ascii="Palatino Linotype" w:hAnsi="Palatino Linotype" w:cs="Palatino Linotype"/>
          <w:sz w:val="24"/>
          <w:szCs w:val="24"/>
        </w:rPr>
        <w:lastRenderedPageBreak/>
        <w:t>spisów spraw, przez codzienne wykonywanie kopii zabezpieczających na informatycznym nośniku danych, innym niż ten, na którym są zapisywane bieżące dane.</w:t>
      </w:r>
    </w:p>
    <w:p w:rsidR="00D22C8D" w:rsidRDefault="00D22C8D">
      <w:pPr>
        <w:spacing w:before="120" w:after="120"/>
        <w:jc w:val="center"/>
        <w:rPr>
          <w:rFonts w:ascii="Palatino Linotype" w:hAnsi="Palatino Linotype" w:cs="Palatino Linotype"/>
        </w:rPr>
      </w:pPr>
      <w:r>
        <w:rPr>
          <w:sz w:val="24"/>
          <w:szCs w:val="24"/>
        </w:rPr>
        <w:t>§</w:t>
      </w:r>
      <w:r>
        <w:rPr>
          <w:rFonts w:ascii="Palatino Linotype" w:hAnsi="Palatino Linotype" w:cs="Palatino Linotype"/>
          <w:sz w:val="24"/>
          <w:szCs w:val="24"/>
        </w:rPr>
        <w:t xml:space="preserve"> 9.</w:t>
      </w:r>
    </w:p>
    <w:p w:rsidR="00D22C8D" w:rsidRDefault="00D22C8D">
      <w:pPr>
        <w:pStyle w:val="Tekstpodstawowy21"/>
        <w:numPr>
          <w:ilvl w:val="0"/>
          <w:numId w:val="79"/>
        </w:numPr>
        <w:ind w:left="284" w:hanging="284"/>
        <w:rPr>
          <w:rFonts w:ascii="Palatino Linotype" w:hAnsi="Palatino Linotype" w:cs="Palatino Linotype"/>
        </w:rPr>
      </w:pPr>
      <w:r>
        <w:rPr>
          <w:rFonts w:ascii="Palatino Linotype" w:hAnsi="Palatino Linotype" w:cs="Palatino Linotype"/>
        </w:rPr>
        <w:t>Sporządzając odpis z dokumentacji należy zachować wszelkie cechy tej dokumentacji, z której sporządza się odpis. Jeśli odpis sporządza się z oryginału, po prawej stronie pod tekstem należy umieścić napis „Odpis”. Jeżeli natomiast odpis sporządza się z odpisu, umieszcza się napis „Odpis z odpisu”.</w:t>
      </w:r>
    </w:p>
    <w:p w:rsidR="00D22C8D" w:rsidRDefault="00D22C8D">
      <w:pPr>
        <w:pStyle w:val="Tekstpodstawowy21"/>
        <w:numPr>
          <w:ilvl w:val="0"/>
          <w:numId w:val="79"/>
        </w:numPr>
        <w:ind w:left="284" w:hanging="284"/>
        <w:rPr>
          <w:rFonts w:ascii="Palatino Linotype" w:hAnsi="Palatino Linotype" w:cs="Palatino Linotype"/>
        </w:rPr>
      </w:pPr>
      <w:r>
        <w:rPr>
          <w:rFonts w:ascii="Palatino Linotype" w:hAnsi="Palatino Linotype" w:cs="Palatino Linotype"/>
        </w:rPr>
        <w:t>Jeżeli z oryginału sporządza się uwierzytelnioną kopię, należy tę kopię uwierzytelnić pieczęcią uwierzytelniającą oraz podpisem uwierzytelniającego i datą dokonania uwierzytelnienia na każdej stronie kopii.</w:t>
      </w:r>
    </w:p>
    <w:p w:rsidR="00D22C8D" w:rsidRDefault="00D22C8D">
      <w:pPr>
        <w:pStyle w:val="Tekstpodstawowy21"/>
        <w:numPr>
          <w:ilvl w:val="0"/>
          <w:numId w:val="79"/>
        </w:numPr>
        <w:ind w:left="284" w:hanging="284"/>
        <w:rPr>
          <w:rFonts w:ascii="Palatino Linotype" w:hAnsi="Palatino Linotype" w:cs="Palatino Linotype"/>
          <w:szCs w:val="24"/>
        </w:rPr>
      </w:pPr>
      <w:r>
        <w:rPr>
          <w:rFonts w:ascii="Palatino Linotype" w:hAnsi="Palatino Linotype" w:cs="Palatino Linotype"/>
        </w:rPr>
        <w:t>Każdy, odpis i uwierzytelniona kopia powinny być starannie sprawdzone przez osobę, która je sporządza, z tym, że ostateczna korekta należy do obowiązków prowadzącego sprawę.</w:t>
      </w:r>
    </w:p>
    <w:p w:rsidR="00D22C8D" w:rsidRDefault="00D22C8D">
      <w:pPr>
        <w:pStyle w:val="Tytu"/>
        <w:spacing w:before="0" w:after="0"/>
        <w:jc w:val="left"/>
        <w:rPr>
          <w:rFonts w:ascii="Palatino Linotype" w:hAnsi="Palatino Linotype" w:cs="Palatino Linotype"/>
          <w:sz w:val="24"/>
          <w:szCs w:val="24"/>
        </w:rPr>
      </w:pPr>
    </w:p>
    <w:p w:rsidR="00D22C8D" w:rsidRDefault="00D22C8D">
      <w:pPr>
        <w:pStyle w:val="Tytu"/>
        <w:spacing w:before="0" w:after="0"/>
        <w:rPr>
          <w:rFonts w:ascii="Palatino Linotype" w:hAnsi="Palatino Linotype" w:cs="Palatino Linotype"/>
          <w:sz w:val="26"/>
          <w:szCs w:val="26"/>
        </w:rPr>
      </w:pPr>
      <w:r>
        <w:rPr>
          <w:rFonts w:ascii="Palatino Linotype" w:hAnsi="Palatino Linotype" w:cs="Palatino Linotype"/>
          <w:sz w:val="28"/>
          <w:szCs w:val="28"/>
        </w:rPr>
        <w:t>Rozdział 2</w:t>
      </w:r>
    </w:p>
    <w:p w:rsidR="00D22C8D" w:rsidRDefault="00D22C8D">
      <w:pPr>
        <w:jc w:val="center"/>
        <w:rPr>
          <w:rFonts w:cs="Calibri"/>
        </w:rPr>
      </w:pPr>
      <w:r>
        <w:rPr>
          <w:rFonts w:ascii="Palatino Linotype" w:hAnsi="Palatino Linotype" w:cs="Palatino Linotype"/>
          <w:b/>
          <w:sz w:val="26"/>
          <w:szCs w:val="26"/>
        </w:rPr>
        <w:t>Przyjmowanie, otwieranie i sprawdzanie przesyłek.</w:t>
      </w:r>
    </w:p>
    <w:p w:rsidR="00D22C8D" w:rsidRDefault="00D22C8D">
      <w:pPr>
        <w:spacing w:after="60"/>
        <w:jc w:val="center"/>
        <w:rPr>
          <w:rFonts w:cs="Calibri"/>
        </w:rPr>
      </w:pP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10.</w:t>
      </w:r>
    </w:p>
    <w:p w:rsidR="00D22C8D" w:rsidRDefault="00D22C8D">
      <w:pPr>
        <w:numPr>
          <w:ilvl w:val="0"/>
          <w:numId w:val="50"/>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Punkt kancelaryjny rejestruje przesyłki wpływające.</w:t>
      </w:r>
    </w:p>
    <w:p w:rsidR="00D22C8D" w:rsidRDefault="00D22C8D">
      <w:pPr>
        <w:numPr>
          <w:ilvl w:val="0"/>
          <w:numId w:val="50"/>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Punkt kancelaryjny wydaje na żądanie składającego przesyłkę potwierdzenie jej otrzymania.</w:t>
      </w:r>
    </w:p>
    <w:p w:rsidR="00D22C8D" w:rsidRDefault="00D22C8D">
      <w:pPr>
        <w:numPr>
          <w:ilvl w:val="0"/>
          <w:numId w:val="50"/>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Rejestrowanie przesyłek wpływających polega na umieszczeniu w dowolnej kolejności w rejestrze prowadzonym na nośniku papierowym lub w postaci elektronicznej następujących informacji:</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liczby porządkowej;</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daty wpływu przesyłki do</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tytułu, czyli zwięzłego odniesienia się do treści przesyłki;</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nazwy nadawcy, od którego pochodzi przesyłka;</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daty widniejącej na przesyłce;</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znaku występującego na przesyłce;</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wskazania, komu przydzielono przesyłkę; w szczególności mogą to być osoba, komórka organizacyjna, lub w przypadku określonym w § 13 dostawca usług pocztowych lub właściwy adresat;</w:t>
      </w:r>
    </w:p>
    <w:p w:rsidR="00D22C8D" w:rsidRDefault="00D22C8D">
      <w:pPr>
        <w:numPr>
          <w:ilvl w:val="0"/>
          <w:numId w:val="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liczby załączników, jeżeli zostały dołączone do przesyłki;</w:t>
      </w:r>
    </w:p>
    <w:p w:rsidR="00D22C8D" w:rsidRDefault="00D22C8D">
      <w:pPr>
        <w:numPr>
          <w:ilvl w:val="0"/>
          <w:numId w:val="5"/>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dodatkowych informacji, jeżeli są potrzebne.</w:t>
      </w:r>
    </w:p>
    <w:p w:rsidR="00D22C8D" w:rsidRDefault="00D22C8D">
      <w:pPr>
        <w:numPr>
          <w:ilvl w:val="0"/>
          <w:numId w:val="50"/>
        </w:numPr>
        <w:ind w:left="284" w:hanging="284"/>
        <w:jc w:val="both"/>
        <w:rPr>
          <w:rFonts w:ascii="Palatino Linotype" w:hAnsi="Palatino Linotype" w:cs="Palatino Linotype"/>
          <w:sz w:val="24"/>
          <w:szCs w:val="24"/>
        </w:rPr>
      </w:pPr>
      <w:r>
        <w:rPr>
          <w:rFonts w:ascii="Palatino Linotype" w:hAnsi="Palatino Linotype" w:cs="Palatino Linotype"/>
          <w:sz w:val="24"/>
          <w:szCs w:val="24"/>
        </w:rPr>
        <w:t>Rejestr przesyłek wpływających prowadzony w postaci elektronicznej umożliwia:</w:t>
      </w:r>
    </w:p>
    <w:p w:rsidR="00D22C8D" w:rsidRDefault="00D22C8D">
      <w:pPr>
        <w:numPr>
          <w:ilvl w:val="0"/>
          <w:numId w:val="42"/>
        </w:numPr>
        <w:ind w:left="567" w:hanging="283"/>
        <w:jc w:val="both"/>
        <w:rPr>
          <w:rFonts w:ascii="Palatino Linotype" w:hAnsi="Palatino Linotype" w:cs="Palatino Linotype"/>
          <w:sz w:val="24"/>
          <w:szCs w:val="24"/>
        </w:rPr>
      </w:pPr>
      <w:r>
        <w:rPr>
          <w:rFonts w:ascii="Palatino Linotype" w:hAnsi="Palatino Linotype" w:cs="Palatino Linotype"/>
          <w:sz w:val="24"/>
          <w:szCs w:val="24"/>
        </w:rPr>
        <w:t>sortowanie listy przesyłek według informacji określonych w ust. 3;</w:t>
      </w:r>
    </w:p>
    <w:p w:rsidR="00D22C8D" w:rsidRDefault="00D22C8D">
      <w:pPr>
        <w:numPr>
          <w:ilvl w:val="0"/>
          <w:numId w:val="42"/>
        </w:numPr>
        <w:ind w:left="567" w:hanging="283"/>
        <w:jc w:val="both"/>
        <w:rPr>
          <w:rFonts w:ascii="Palatino Linotype" w:hAnsi="Palatino Linotype" w:cs="Palatino Linotype"/>
          <w:sz w:val="24"/>
          <w:szCs w:val="24"/>
        </w:rPr>
      </w:pPr>
      <w:r>
        <w:rPr>
          <w:rFonts w:ascii="Palatino Linotype" w:hAnsi="Palatino Linotype" w:cs="Palatino Linotype"/>
          <w:sz w:val="24"/>
          <w:szCs w:val="24"/>
        </w:rPr>
        <w:t>wydrukowanie listy przesyłek zawierającej wszystkie lub wybrane informacje, określone w ust. 3 oraz, na każdej stronie, datę wykonania wydruku;</w:t>
      </w:r>
    </w:p>
    <w:p w:rsidR="00D22C8D" w:rsidRDefault="00D22C8D">
      <w:pPr>
        <w:numPr>
          <w:ilvl w:val="0"/>
          <w:numId w:val="42"/>
        </w:numPr>
        <w:ind w:left="567" w:hanging="283"/>
        <w:jc w:val="both"/>
        <w:rPr>
          <w:rFonts w:ascii="Palatino Linotype" w:hAnsi="Palatino Linotype" w:cs="Palatino Linotype"/>
          <w:sz w:val="24"/>
          <w:szCs w:val="24"/>
        </w:rPr>
      </w:pPr>
      <w:r>
        <w:rPr>
          <w:rFonts w:ascii="Palatino Linotype" w:hAnsi="Palatino Linotype" w:cs="Palatino Linotype"/>
          <w:sz w:val="24"/>
          <w:szCs w:val="24"/>
        </w:rPr>
        <w:lastRenderedPageBreak/>
        <w:t>zapisanie całości lub części rejestru w formacie danych umożliwiającym późniejsze wyodrębnienie informacji określonych w ust. 3.</w:t>
      </w:r>
    </w:p>
    <w:p w:rsidR="00D22C8D" w:rsidRDefault="00D22C8D">
      <w:pPr>
        <w:numPr>
          <w:ilvl w:val="0"/>
          <w:numId w:val="50"/>
        </w:numPr>
        <w:ind w:left="284" w:hanging="284"/>
        <w:jc w:val="both"/>
        <w:rPr>
          <w:rFonts w:ascii="Palatino Linotype" w:hAnsi="Palatino Linotype" w:cs="Palatino Linotype"/>
          <w:color w:val="000000"/>
          <w:sz w:val="24"/>
          <w:szCs w:val="24"/>
          <w:shd w:val="clear" w:color="auto" w:fill="FFFF00"/>
        </w:rPr>
      </w:pPr>
      <w:r>
        <w:rPr>
          <w:rFonts w:ascii="Palatino Linotype" w:hAnsi="Palatino Linotype" w:cs="Palatino Linotype"/>
          <w:sz w:val="24"/>
          <w:szCs w:val="24"/>
        </w:rPr>
        <w:t>Dopuszcza się nierejestrowanie przesyłek niemających żadnego znaczenia dla udokumentowania działalności</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 xml:space="preserve"> takich jak kartki z życzeniami, reklamy.</w:t>
      </w:r>
    </w:p>
    <w:p w:rsidR="00D22C8D" w:rsidRDefault="00D22C8D">
      <w:pPr>
        <w:overflowPunct w:val="0"/>
        <w:autoSpaceDE w:val="0"/>
        <w:spacing w:after="80"/>
        <w:ind w:left="720"/>
        <w:jc w:val="both"/>
        <w:textAlignment w:val="baseline"/>
        <w:rPr>
          <w:rFonts w:ascii="Palatino Linotype" w:hAnsi="Palatino Linotype" w:cs="Palatino Linotype"/>
          <w:color w:val="000000"/>
          <w:sz w:val="24"/>
          <w:szCs w:val="24"/>
          <w:shd w:val="clear" w:color="auto" w:fill="FFFF00"/>
        </w:rPr>
      </w:pP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11.</w:t>
      </w:r>
    </w:p>
    <w:p w:rsidR="00D22C8D" w:rsidRDefault="00D22C8D">
      <w:pPr>
        <w:numPr>
          <w:ilvl w:val="0"/>
          <w:numId w:val="25"/>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trakcie odbioru przesyłek dostarczonych w kopertach lub paczkach punkt kancelaryjny sprawdza prawidłowość wskazanego adresu na przesyłce oraz stan jej opakowania.</w:t>
      </w:r>
    </w:p>
    <w:p w:rsidR="00D22C8D" w:rsidRDefault="00D22C8D">
      <w:pPr>
        <w:numPr>
          <w:ilvl w:val="0"/>
          <w:numId w:val="25"/>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razie stwierdzenia uszkodzenia lub naruszenia przesyłki w stopniu, który umożliwił osobom trzecim ingerencję w zawartość przesyłki, sporządza się w obecności doręczającego adnotację na kopercie lub opakowaniu oraz na potwierdzeniu odbioru.</w:t>
      </w:r>
    </w:p>
    <w:p w:rsidR="00D22C8D" w:rsidRDefault="00D22C8D">
      <w:pPr>
        <w:numPr>
          <w:ilvl w:val="0"/>
          <w:numId w:val="25"/>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o którym mowa w ust. 2, sporządza się protokół o doręczeniu przesyłki uszkodzonej.</w:t>
      </w:r>
    </w:p>
    <w:p w:rsidR="00D22C8D" w:rsidRDefault="00D22C8D">
      <w:pPr>
        <w:numPr>
          <w:ilvl w:val="0"/>
          <w:numId w:val="25"/>
        </w:numPr>
        <w:ind w:left="284" w:hanging="284"/>
        <w:jc w:val="both"/>
        <w:rPr>
          <w:sz w:val="24"/>
          <w:szCs w:val="24"/>
        </w:rPr>
      </w:pPr>
      <w:r>
        <w:rPr>
          <w:rFonts w:ascii="Palatino Linotype" w:hAnsi="Palatino Linotype" w:cs="Palatino Linotype"/>
          <w:sz w:val="24"/>
          <w:szCs w:val="24"/>
        </w:rPr>
        <w:t>O odbiorze uszkodzonej lub naruszonej przesyłki powiadamia się niezwłocznie bezpośredniego przełożonego.</w:t>
      </w:r>
    </w:p>
    <w:p w:rsidR="00D22C8D" w:rsidRDefault="00D22C8D">
      <w:pPr>
        <w:spacing w:before="120" w:after="120"/>
        <w:jc w:val="center"/>
        <w:rPr>
          <w:rFonts w:ascii="Palatino Linotype" w:hAnsi="Palatino Linotype" w:cs="Calibri"/>
          <w:sz w:val="24"/>
          <w:szCs w:val="24"/>
        </w:rPr>
      </w:pPr>
      <w:r>
        <w:rPr>
          <w:sz w:val="24"/>
          <w:szCs w:val="24"/>
        </w:rPr>
        <w:t>§</w:t>
      </w:r>
      <w:r>
        <w:rPr>
          <w:rFonts w:ascii="Palatino Linotype" w:hAnsi="Palatino Linotype" w:cs="Palatino Linotype"/>
          <w:sz w:val="24"/>
          <w:szCs w:val="24"/>
        </w:rPr>
        <w:t xml:space="preserve"> 12.</w:t>
      </w:r>
    </w:p>
    <w:p w:rsidR="00D22C8D" w:rsidRDefault="00D22C8D">
      <w:pPr>
        <w:pStyle w:val="ListParagraph"/>
        <w:numPr>
          <w:ilvl w:val="0"/>
          <w:numId w:val="28"/>
        </w:numPr>
        <w:spacing w:after="60" w:line="240" w:lineRule="auto"/>
        <w:ind w:left="284" w:hanging="284"/>
        <w:rPr>
          <w:rFonts w:ascii="Palatino Linotype" w:hAnsi="Palatino Linotype"/>
          <w:sz w:val="24"/>
          <w:szCs w:val="24"/>
        </w:rPr>
      </w:pPr>
      <w:r>
        <w:rPr>
          <w:rFonts w:ascii="Palatino Linotype" w:hAnsi="Palatino Linotype"/>
          <w:sz w:val="24"/>
          <w:szCs w:val="24"/>
        </w:rPr>
        <w:t>Przesyłki na nośniku papierowym punkt kancelaryjny rejestruje na podstawie:</w:t>
      </w:r>
    </w:p>
    <w:p w:rsidR="00D22C8D" w:rsidRDefault="00D22C8D">
      <w:pPr>
        <w:pStyle w:val="ListParagraph"/>
        <w:numPr>
          <w:ilvl w:val="1"/>
          <w:numId w:val="26"/>
        </w:numPr>
        <w:spacing w:after="60" w:line="240" w:lineRule="auto"/>
        <w:ind w:left="567" w:hanging="283"/>
        <w:rPr>
          <w:rFonts w:ascii="Palatino Linotype" w:hAnsi="Palatino Linotype"/>
          <w:sz w:val="24"/>
          <w:szCs w:val="24"/>
        </w:rPr>
      </w:pPr>
      <w:r>
        <w:rPr>
          <w:rFonts w:ascii="Palatino Linotype" w:hAnsi="Palatino Linotype"/>
          <w:sz w:val="24"/>
          <w:szCs w:val="24"/>
        </w:rPr>
        <w:t>danych zawartych w treści pisma – w przypadku, gdy istnieje możliwość otwarcia koperty i zapoznania się z treścią pisma,</w:t>
      </w:r>
    </w:p>
    <w:p w:rsidR="00D22C8D" w:rsidRDefault="00D22C8D">
      <w:pPr>
        <w:pStyle w:val="ListParagraph"/>
        <w:numPr>
          <w:ilvl w:val="1"/>
          <w:numId w:val="26"/>
        </w:numPr>
        <w:spacing w:after="60" w:line="240" w:lineRule="auto"/>
        <w:ind w:left="567" w:hanging="283"/>
        <w:rPr>
          <w:rFonts w:ascii="Palatino Linotype" w:hAnsi="Palatino Linotype" w:cs="Palatino Linotype"/>
          <w:sz w:val="24"/>
          <w:szCs w:val="24"/>
        </w:rPr>
      </w:pPr>
      <w:r>
        <w:rPr>
          <w:rFonts w:ascii="Palatino Linotype" w:hAnsi="Palatino Linotype"/>
          <w:sz w:val="24"/>
          <w:szCs w:val="24"/>
        </w:rPr>
        <w:t>danych na kopercie, w której zamknięte są pisma – w przypadku, gdy nie ma możliwości otwarcia</w:t>
      </w:r>
      <w:r>
        <w:rPr>
          <w:rFonts w:ascii="Palatino Linotype" w:hAnsi="Palatino Linotype" w:cs="Palatino Linotype"/>
          <w:sz w:val="24"/>
          <w:szCs w:val="24"/>
        </w:rPr>
        <w:t xml:space="preserve"> koperty.</w:t>
      </w:r>
    </w:p>
    <w:p w:rsidR="00D22C8D" w:rsidRDefault="00D22C8D">
      <w:pPr>
        <w:numPr>
          <w:ilvl w:val="0"/>
          <w:numId w:val="26"/>
        </w:numPr>
        <w:spacing w:after="120"/>
        <w:jc w:val="both"/>
        <w:rPr>
          <w:rStyle w:val="FontStyle51"/>
          <w:rFonts w:ascii="Palatino Linotype" w:hAnsi="Palatino Linotype" w:cs="Calibri"/>
          <w:b/>
          <w:bCs/>
          <w:i/>
          <w:color w:val="FF0000"/>
          <w:sz w:val="24"/>
          <w:szCs w:val="24"/>
        </w:rPr>
      </w:pPr>
      <w:r>
        <w:rPr>
          <w:rFonts w:ascii="Palatino Linotype" w:hAnsi="Palatino Linotype" w:cs="Palatino Linotype"/>
          <w:sz w:val="24"/>
          <w:szCs w:val="24"/>
        </w:rPr>
        <w:t>Po zarejestrowaniu przesyłki na nośniku papierowym punkt kancelaryjny umieszcza i wypełnia pieczęć wpływu na pierwszej stronie pisma, lub w przypadku gdy nie ma możliwości otwarcia koperty, na kopercie.</w:t>
      </w:r>
    </w:p>
    <w:p w:rsidR="00D22C8D" w:rsidRDefault="006B2B93">
      <w:pPr>
        <w:numPr>
          <w:ilvl w:val="0"/>
          <w:numId w:val="26"/>
        </w:numPr>
        <w:spacing w:before="60" w:after="60"/>
        <w:jc w:val="both"/>
        <w:rPr>
          <w:rStyle w:val="FontStyle51"/>
          <w:rFonts w:ascii="Palatino Linotype" w:hAnsi="Palatino Linotype" w:cs="Calibri"/>
          <w:sz w:val="24"/>
          <w:szCs w:val="24"/>
        </w:rPr>
      </w:pPr>
      <w:r w:rsidRPr="006B2B93">
        <w:rPr>
          <w:rStyle w:val="FontStyle51"/>
          <w:rFonts w:ascii="Palatino Linotype" w:hAnsi="Palatino Linotype" w:cs="Calibri"/>
          <w:sz w:val="24"/>
          <w:szCs w:val="24"/>
        </w:rPr>
        <w:t>Dyrektor MP37</w:t>
      </w:r>
      <w:r w:rsidR="00D22C8D">
        <w:rPr>
          <w:rStyle w:val="FontStyle51"/>
          <w:rFonts w:ascii="Palatino Linotype" w:hAnsi="Palatino Linotype" w:cs="Calibri"/>
          <w:i/>
          <w:sz w:val="24"/>
          <w:szCs w:val="24"/>
        </w:rPr>
        <w:t xml:space="preserve"> </w:t>
      </w:r>
      <w:r w:rsidR="00D22C8D">
        <w:rPr>
          <w:rStyle w:val="FontStyle51"/>
          <w:rFonts w:ascii="Palatino Linotype" w:hAnsi="Palatino Linotype" w:cs="Calibri"/>
          <w:sz w:val="24"/>
          <w:szCs w:val="24"/>
        </w:rPr>
        <w:t>określa listę rodzajów przesyłek wpływających, które nie są otwierane przez dany punkt kancelaryjny.</w:t>
      </w:r>
    </w:p>
    <w:p w:rsidR="00D22C8D" w:rsidRDefault="00D22C8D">
      <w:pPr>
        <w:numPr>
          <w:ilvl w:val="0"/>
          <w:numId w:val="26"/>
        </w:numPr>
        <w:spacing w:before="60" w:after="60"/>
        <w:jc w:val="both"/>
        <w:rPr>
          <w:rStyle w:val="FontStyle51"/>
          <w:rFonts w:ascii="Palatino Linotype" w:hAnsi="Palatino Linotype" w:cs="Calibri"/>
          <w:sz w:val="24"/>
          <w:szCs w:val="24"/>
        </w:rPr>
      </w:pPr>
      <w:r>
        <w:rPr>
          <w:rStyle w:val="FontStyle51"/>
          <w:rFonts w:ascii="Palatino Linotype" w:hAnsi="Palatino Linotype" w:cs="Calibri"/>
          <w:sz w:val="24"/>
          <w:szCs w:val="24"/>
        </w:rPr>
        <w:t>Jeżeli po otwarciu przesyłki nieoznaczonej na zewnątrz w sposób informujący o jej zawartości, okaże się, że nie powinna ona być otwierana, przesyłkę przekazuje się bezzwłocznie w zamkniętej kopercie, po dokonaniu rejestracji na podstawie danych na kopercie.</w:t>
      </w:r>
    </w:p>
    <w:p w:rsidR="00D22C8D" w:rsidRDefault="00D22C8D">
      <w:pPr>
        <w:numPr>
          <w:ilvl w:val="0"/>
          <w:numId w:val="26"/>
        </w:numPr>
        <w:spacing w:before="60" w:after="60"/>
        <w:jc w:val="both"/>
        <w:rPr>
          <w:rStyle w:val="FontStyle51"/>
          <w:rFonts w:ascii="Palatino Linotype" w:hAnsi="Palatino Linotype" w:cs="Calibri"/>
          <w:sz w:val="24"/>
          <w:szCs w:val="24"/>
        </w:rPr>
      </w:pPr>
      <w:r>
        <w:rPr>
          <w:rStyle w:val="FontStyle51"/>
          <w:rFonts w:ascii="Palatino Linotype" w:hAnsi="Palatino Linotype" w:cs="Calibri"/>
          <w:sz w:val="24"/>
          <w:szCs w:val="24"/>
        </w:rPr>
        <w:t>Jeżeli pracownik otrzymał przesyłkę w zamkniętej kopercie i stwierdził, że dotyczy ona spraw służbowych, jest obowiązany:</w:t>
      </w:r>
    </w:p>
    <w:p w:rsidR="00D22C8D" w:rsidRDefault="00D22C8D">
      <w:pPr>
        <w:numPr>
          <w:ilvl w:val="0"/>
          <w:numId w:val="15"/>
        </w:numPr>
        <w:ind w:left="709" w:hanging="283"/>
        <w:jc w:val="both"/>
        <w:rPr>
          <w:rStyle w:val="FontStyle51"/>
          <w:rFonts w:ascii="Palatino Linotype" w:hAnsi="Palatino Linotype" w:cs="Calibri"/>
          <w:sz w:val="24"/>
          <w:szCs w:val="24"/>
        </w:rPr>
      </w:pPr>
      <w:r>
        <w:rPr>
          <w:rStyle w:val="FontStyle51"/>
          <w:rFonts w:ascii="Palatino Linotype" w:hAnsi="Palatino Linotype" w:cs="Calibri"/>
          <w:sz w:val="24"/>
          <w:szCs w:val="24"/>
        </w:rPr>
        <w:t>przekazać ją do punktu kancelaryjnego w celu uzupełnienia danych w rejestrze przesyłek wpływających lub</w:t>
      </w:r>
    </w:p>
    <w:p w:rsidR="00D22C8D" w:rsidRDefault="00D22C8D">
      <w:pPr>
        <w:numPr>
          <w:ilvl w:val="0"/>
          <w:numId w:val="15"/>
        </w:numPr>
        <w:ind w:left="567" w:hanging="141"/>
        <w:jc w:val="both"/>
        <w:rPr>
          <w:rFonts w:ascii="Palatino Linotype" w:hAnsi="Palatino Linotype" w:cs="Calibri"/>
          <w:sz w:val="24"/>
          <w:szCs w:val="24"/>
        </w:rPr>
      </w:pPr>
      <w:r>
        <w:rPr>
          <w:rStyle w:val="FontStyle51"/>
          <w:rFonts w:ascii="Palatino Linotype" w:hAnsi="Palatino Linotype" w:cs="Calibri"/>
          <w:sz w:val="24"/>
          <w:szCs w:val="24"/>
        </w:rPr>
        <w:t>samodzielnie wykonać zadania punktu kancelaryjnego.</w:t>
      </w:r>
    </w:p>
    <w:p w:rsidR="00D22C8D" w:rsidRDefault="00D22C8D">
      <w:pPr>
        <w:numPr>
          <w:ilvl w:val="0"/>
          <w:numId w:val="26"/>
        </w:numPr>
        <w:spacing w:before="60" w:after="60"/>
        <w:jc w:val="both"/>
        <w:rPr>
          <w:rFonts w:ascii="Palatino Linotype" w:hAnsi="Palatino Linotype" w:cs="Calibri"/>
          <w:sz w:val="24"/>
          <w:szCs w:val="24"/>
        </w:rPr>
      </w:pPr>
      <w:r>
        <w:rPr>
          <w:rFonts w:ascii="Palatino Linotype" w:hAnsi="Palatino Linotype" w:cs="Calibri"/>
          <w:sz w:val="24"/>
          <w:szCs w:val="24"/>
        </w:rPr>
        <w:t xml:space="preserve">Po </w:t>
      </w:r>
      <w:r>
        <w:rPr>
          <w:rStyle w:val="FontStyle51"/>
          <w:rFonts w:ascii="Palatino Linotype" w:hAnsi="Palatino Linotype" w:cs="Palatino Linotype"/>
          <w:sz w:val="24"/>
          <w:szCs w:val="24"/>
        </w:rPr>
        <w:t>otwarciu</w:t>
      </w:r>
      <w:r>
        <w:rPr>
          <w:rFonts w:ascii="Palatino Linotype" w:hAnsi="Palatino Linotype" w:cs="Calibri"/>
          <w:sz w:val="24"/>
          <w:szCs w:val="24"/>
        </w:rPr>
        <w:t xml:space="preserve"> koperty punkt kancelaryjny sprawdza:</w:t>
      </w:r>
    </w:p>
    <w:p w:rsidR="00D22C8D" w:rsidRDefault="00D22C8D">
      <w:pPr>
        <w:numPr>
          <w:ilvl w:val="0"/>
          <w:numId w:val="69"/>
        </w:numPr>
        <w:spacing w:before="60" w:after="60"/>
        <w:ind w:left="426" w:firstLine="0"/>
        <w:jc w:val="both"/>
        <w:rPr>
          <w:rFonts w:ascii="Palatino Linotype" w:hAnsi="Palatino Linotype" w:cs="Calibri"/>
          <w:sz w:val="24"/>
          <w:szCs w:val="24"/>
        </w:rPr>
      </w:pPr>
      <w:r>
        <w:rPr>
          <w:rFonts w:ascii="Palatino Linotype" w:hAnsi="Palatino Linotype" w:cs="Calibri"/>
          <w:sz w:val="24"/>
          <w:szCs w:val="24"/>
        </w:rPr>
        <w:lastRenderedPageBreak/>
        <w:t>czy nie zawiera ona przesyłek mylnie skierowanych;</w:t>
      </w:r>
    </w:p>
    <w:p w:rsidR="00D22C8D" w:rsidRDefault="00D22C8D">
      <w:pPr>
        <w:numPr>
          <w:ilvl w:val="0"/>
          <w:numId w:val="69"/>
        </w:numPr>
        <w:spacing w:before="60" w:after="60"/>
        <w:ind w:left="426" w:firstLine="0"/>
        <w:jc w:val="both"/>
        <w:rPr>
          <w:sz w:val="24"/>
          <w:szCs w:val="24"/>
        </w:rPr>
      </w:pPr>
      <w:r>
        <w:rPr>
          <w:rFonts w:ascii="Palatino Linotype" w:hAnsi="Palatino Linotype" w:cs="Calibri"/>
          <w:sz w:val="24"/>
          <w:szCs w:val="24"/>
        </w:rPr>
        <w:t>czy znajduje się w niej kompletna przesyłka, której znaki uwidocznione są na kopercie; brak załączników lub otrzymanie samych załączników bez pisma przewodniego odnotowuje się odpowiednio na danym piśmie lub załączniku.</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13.</w:t>
      </w:r>
    </w:p>
    <w:p w:rsidR="00D22C8D" w:rsidRDefault="00D22C8D">
      <w:pPr>
        <w:jc w:val="both"/>
        <w:rPr>
          <w:sz w:val="24"/>
          <w:szCs w:val="24"/>
        </w:rPr>
      </w:pPr>
      <w:r>
        <w:rPr>
          <w:rFonts w:ascii="Palatino Linotype" w:hAnsi="Palatino Linotype" w:cs="Palatino Linotype"/>
          <w:sz w:val="24"/>
          <w:szCs w:val="24"/>
        </w:rPr>
        <w:t>Przesyłki mylnie doręczone zwraca się bezzwłocznie dostawcy usługi pocztowej lub przesyła bezpośrednio do właściwego adresata.</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14.</w:t>
      </w:r>
    </w:p>
    <w:p w:rsidR="00D22C8D" w:rsidRDefault="00D22C8D">
      <w:pPr>
        <w:numPr>
          <w:ilvl w:val="0"/>
          <w:numId w:val="29"/>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rsidR="00D22C8D" w:rsidRDefault="00D22C8D">
      <w:pPr>
        <w:numPr>
          <w:ilvl w:val="0"/>
          <w:numId w:val="29"/>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Po dokonaniu selekcji, o której mowa w ust. 1, przesyłki otrzymane pocztą elektroniczną dzieli się na:</w:t>
      </w:r>
    </w:p>
    <w:p w:rsidR="00D22C8D" w:rsidRDefault="00D22C8D">
      <w:pPr>
        <w:numPr>
          <w:ilvl w:val="0"/>
          <w:numId w:val="66"/>
        </w:numPr>
        <w:tabs>
          <w:tab w:val="left" w:pos="567"/>
        </w:tabs>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przesyłki adresowane na skrzynkę poczty elektronicznej podaną w Biuletynie Informacji Publicznej jako właściwą do kontaktu z</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w:t>
      </w:r>
    </w:p>
    <w:p w:rsidR="00D22C8D" w:rsidRDefault="00D22C8D">
      <w:pPr>
        <w:numPr>
          <w:ilvl w:val="0"/>
          <w:numId w:val="66"/>
        </w:numPr>
        <w:tabs>
          <w:tab w:val="left" w:pos="567"/>
        </w:tabs>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przesyłki adresowane na indywidualne adresy poczty elektronicznej:</w:t>
      </w:r>
    </w:p>
    <w:p w:rsidR="00D22C8D" w:rsidRDefault="00D22C8D">
      <w:pPr>
        <w:numPr>
          <w:ilvl w:val="0"/>
          <w:numId w:val="40"/>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mające istotne znaczenie dla odzwierciedlenia przebiegu załatwiania spraw przez</w:t>
      </w:r>
      <w:r w:rsidR="006B2B93">
        <w:rPr>
          <w:rFonts w:ascii="Palatino Linotype" w:hAnsi="Palatino Linotype" w:cs="Palatino Linotype"/>
          <w:sz w:val="24"/>
          <w:szCs w:val="24"/>
        </w:rPr>
        <w:t xml:space="preserve"> MP37;</w:t>
      </w:r>
    </w:p>
    <w:p w:rsidR="00D22C8D" w:rsidRDefault="00D22C8D">
      <w:pPr>
        <w:numPr>
          <w:ilvl w:val="0"/>
          <w:numId w:val="40"/>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mające robocze znaczenie dla załatwianych spraw przez</w:t>
      </w:r>
      <w:r w:rsidR="006B2B93">
        <w:rPr>
          <w:rFonts w:ascii="Palatino Linotype" w:hAnsi="Palatino Linotype" w:cs="Palatino Linotype"/>
          <w:sz w:val="24"/>
          <w:szCs w:val="24"/>
        </w:rPr>
        <w:t xml:space="preserve"> MP37;</w:t>
      </w:r>
    </w:p>
    <w:p w:rsidR="00D22C8D" w:rsidRDefault="00D22C8D">
      <w:pPr>
        <w:numPr>
          <w:ilvl w:val="0"/>
          <w:numId w:val="40"/>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pozostałe, nie odzwierciedlające działalności</w:t>
      </w:r>
      <w:r w:rsidR="006B2B93">
        <w:rPr>
          <w:rFonts w:ascii="Palatino Linotype" w:hAnsi="Palatino Linotype" w:cs="Palatino Linotype"/>
          <w:sz w:val="24"/>
          <w:szCs w:val="24"/>
        </w:rPr>
        <w:t xml:space="preserve"> MP37</w:t>
      </w:r>
      <w:r>
        <w:rPr>
          <w:rFonts w:ascii="Palatino Linotype" w:hAnsi="Palatino Linotype" w:cs="Palatino Linotype"/>
          <w:i/>
          <w:sz w:val="24"/>
          <w:szCs w:val="24"/>
        </w:rPr>
        <w:t>.</w:t>
      </w:r>
    </w:p>
    <w:p w:rsidR="00D22C8D" w:rsidRDefault="00D22C8D">
      <w:pPr>
        <w:numPr>
          <w:ilvl w:val="0"/>
          <w:numId w:val="29"/>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o których mowa w ust. 2 pkt 1 i ust. 2 pkt 2 lit. a, rejestruje się, drukuje, nanosi i wypełnia pieczęć wpływu na pierwszej stronie wydruku.</w:t>
      </w:r>
    </w:p>
    <w:p w:rsidR="00D22C8D" w:rsidRDefault="00D22C8D">
      <w:pPr>
        <w:numPr>
          <w:ilvl w:val="0"/>
          <w:numId w:val="29"/>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o których mowa w ust. 2 pkt 2 lit. b, drukuje się i włącza bez rejestracji i dekretacji bezpośrednio do akt sprawy.</w:t>
      </w:r>
    </w:p>
    <w:p w:rsidR="00D22C8D" w:rsidRDefault="00D22C8D">
      <w:pPr>
        <w:numPr>
          <w:ilvl w:val="0"/>
          <w:numId w:val="29"/>
        </w:numPr>
        <w:ind w:left="284" w:hanging="284"/>
        <w:jc w:val="both"/>
        <w:rPr>
          <w:sz w:val="24"/>
          <w:szCs w:val="24"/>
        </w:rPr>
      </w:pPr>
      <w:r>
        <w:rPr>
          <w:rFonts w:ascii="Palatino Linotype" w:hAnsi="Palatino Linotype" w:cs="Palatino Linotype"/>
          <w:sz w:val="24"/>
          <w:szCs w:val="24"/>
        </w:rPr>
        <w:t>Przesyłek, o których mowa  w ust. 2 pkt. 2 lit. c, nie rejestruje się i nie włącza do akt sprawy.</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15.</w:t>
      </w:r>
    </w:p>
    <w:p w:rsidR="00D22C8D" w:rsidRDefault="00D22C8D">
      <w:pPr>
        <w:numPr>
          <w:ilvl w:val="0"/>
          <w:numId w:val="52"/>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przekazane na ESP dzieli się na:</w:t>
      </w:r>
    </w:p>
    <w:p w:rsidR="00D22C8D" w:rsidRDefault="00D22C8D">
      <w:pPr>
        <w:numPr>
          <w:ilvl w:val="0"/>
          <w:numId w:val="30"/>
        </w:numPr>
        <w:ind w:left="567" w:hanging="283"/>
        <w:jc w:val="both"/>
        <w:rPr>
          <w:rFonts w:ascii="Palatino Linotype" w:hAnsi="Palatino Linotype" w:cs="Palatino Linotype"/>
          <w:sz w:val="24"/>
          <w:szCs w:val="24"/>
        </w:rPr>
      </w:pPr>
      <w:r>
        <w:rPr>
          <w:rFonts w:ascii="Palatino Linotype" w:hAnsi="Palatino Linotype" w:cs="Palatino Linotype"/>
          <w:sz w:val="24"/>
          <w:szCs w:val="24"/>
        </w:rPr>
        <w:t>przeznaczone do automatycznego rejestrowania w systemie teleinformatycznym dedykowanym do realizacji określonych wyspecjalizowanych usług oraz spraw;</w:t>
      </w:r>
    </w:p>
    <w:p w:rsidR="00D22C8D" w:rsidRDefault="00D22C8D">
      <w:pPr>
        <w:numPr>
          <w:ilvl w:val="0"/>
          <w:numId w:val="30"/>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pozostałe, nieprzeznaczone do automatycznego rejestrowania.</w:t>
      </w:r>
    </w:p>
    <w:p w:rsidR="00D22C8D" w:rsidRDefault="00D22C8D">
      <w:pPr>
        <w:numPr>
          <w:ilvl w:val="0"/>
          <w:numId w:val="52"/>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 xml:space="preserve">Przesyłek, o których mowa w ust. 1 pkt 1, nie rejestruje się, jeżeli system teleinformatyczny, w którym są one przetwarzane, umożliwia wyszukiwanie i </w:t>
      </w:r>
      <w:r>
        <w:rPr>
          <w:rFonts w:ascii="Palatino Linotype" w:hAnsi="Palatino Linotype" w:cs="Palatino Linotype"/>
          <w:sz w:val="24"/>
          <w:szCs w:val="24"/>
        </w:rPr>
        <w:lastRenderedPageBreak/>
        <w:t>sortowanie co najmniej według daty wpływu i według nadawcy, od którego przesyłka pochodzi.</w:t>
      </w:r>
    </w:p>
    <w:p w:rsidR="00D22C8D" w:rsidRDefault="00D22C8D">
      <w:pPr>
        <w:numPr>
          <w:ilvl w:val="0"/>
          <w:numId w:val="52"/>
        </w:numPr>
        <w:ind w:left="284" w:hanging="284"/>
        <w:jc w:val="both"/>
        <w:rPr>
          <w:sz w:val="24"/>
          <w:szCs w:val="24"/>
        </w:rPr>
      </w:pPr>
      <w:r>
        <w:rPr>
          <w:rFonts w:ascii="Palatino Linotype" w:hAnsi="Palatino Linotype" w:cs="Palatino Linotype"/>
          <w:sz w:val="24"/>
          <w:szCs w:val="24"/>
        </w:rPr>
        <w:t>Przesyłki, o których mowa w ust. 1 pkt 2, rejestruje się, drukuje wraz z UPO, nanosi i wypełnia pieczęć wpływu na pierwszej stronie wydruku.</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16.</w:t>
      </w:r>
    </w:p>
    <w:p w:rsidR="00D22C8D" w:rsidRDefault="00D22C8D">
      <w:pPr>
        <w:numPr>
          <w:ilvl w:val="0"/>
          <w:numId w:val="17"/>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przekazane na informatycznym nośniku danych dzieli się na:</w:t>
      </w:r>
    </w:p>
    <w:p w:rsidR="00D22C8D" w:rsidRDefault="00D22C8D">
      <w:pPr>
        <w:numPr>
          <w:ilvl w:val="0"/>
          <w:numId w:val="7"/>
        </w:numPr>
        <w:ind w:left="567" w:hanging="283"/>
        <w:jc w:val="both"/>
        <w:rPr>
          <w:rFonts w:ascii="Palatino Linotype" w:hAnsi="Palatino Linotype" w:cs="Palatino Linotype"/>
          <w:sz w:val="24"/>
          <w:szCs w:val="24"/>
        </w:rPr>
      </w:pPr>
      <w:r>
        <w:rPr>
          <w:rFonts w:ascii="Palatino Linotype" w:hAnsi="Palatino Linotype" w:cs="Palatino Linotype"/>
          <w:sz w:val="24"/>
          <w:szCs w:val="24"/>
        </w:rPr>
        <w:t>przekazane bezpośrednio na informatycznym nośniku danych;</w:t>
      </w:r>
    </w:p>
    <w:p w:rsidR="00D22C8D" w:rsidRDefault="00D22C8D">
      <w:pPr>
        <w:numPr>
          <w:ilvl w:val="0"/>
          <w:numId w:val="7"/>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stanowiące załącznik do pisma przekazanego na nośniku papierowym.</w:t>
      </w:r>
    </w:p>
    <w:p w:rsidR="00D22C8D" w:rsidRDefault="00D22C8D">
      <w:pPr>
        <w:numPr>
          <w:ilvl w:val="0"/>
          <w:numId w:val="17"/>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o których mowa w ust. 1 pkt 1, rejestruje się, drukuje, nanosi i wypełnia pieczęć wpływu na pierwszej stronie wydruku.</w:t>
      </w:r>
    </w:p>
    <w:p w:rsidR="00D22C8D" w:rsidRDefault="00D22C8D">
      <w:pPr>
        <w:numPr>
          <w:ilvl w:val="0"/>
          <w:numId w:val="17"/>
        </w:numPr>
        <w:ind w:left="284" w:hanging="284"/>
        <w:jc w:val="both"/>
        <w:rPr>
          <w:sz w:val="24"/>
          <w:szCs w:val="24"/>
        </w:rPr>
      </w:pPr>
      <w:r>
        <w:rPr>
          <w:rFonts w:ascii="Palatino Linotype" w:hAnsi="Palatino Linotype" w:cs="Palatino Linotype"/>
          <w:sz w:val="24"/>
          <w:szCs w:val="24"/>
        </w:rPr>
        <w:t>Pisma, o których mowa w ust. 1 pkt 2, rejestruje się zgodnie  z § 12, odnotowując w rejestrze przesyłek wpływających informację o załączniku zapisanym na informatycznym nośniku danych.</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17.</w:t>
      </w:r>
    </w:p>
    <w:p w:rsidR="00D22C8D" w:rsidRDefault="00D22C8D">
      <w:pPr>
        <w:numPr>
          <w:ilvl w:val="0"/>
          <w:numId w:val="2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rsidR="00D22C8D" w:rsidRDefault="00D22C8D">
      <w:pPr>
        <w:numPr>
          <w:ilvl w:val="0"/>
          <w:numId w:val="4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rsidR="00D22C8D" w:rsidRDefault="00D22C8D">
      <w:pPr>
        <w:numPr>
          <w:ilvl w:val="0"/>
          <w:numId w:val="45"/>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informatyczny nośnik danych z zapisaną przesyłką dołączyć do wydruku, o którym mowa w pkt 1, do momentu zakończenia sprawy, po czym przekazać ten nośnik do składu informatycznych nośników danych.</w:t>
      </w:r>
    </w:p>
    <w:p w:rsidR="00D22C8D" w:rsidRDefault="00D22C8D">
      <w:pPr>
        <w:numPr>
          <w:ilvl w:val="0"/>
          <w:numId w:val="2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Dopuszcza się prowadzenie w</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 xml:space="preserve"> kilku składów informatycznych nośników danych, jeżeli jest to uzasadnione strukturą organizacyjną lub lokalizacją komórek organizacyjnych.</w:t>
      </w:r>
    </w:p>
    <w:p w:rsidR="00D22C8D" w:rsidRDefault="00D22C8D">
      <w:pPr>
        <w:numPr>
          <w:ilvl w:val="0"/>
          <w:numId w:val="2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przesyłka w postaci elektronicznej lub załącznik do niej zawiera podpis elektroniczny identyfikujący jego posiadacza w sposób określony w przepisach ustawy o informatyzacji oraz nie ma UPO odnoszącego się do tej przesyłki, na wydruku opatrzonym pieczęcią wpływu nanosi się informację o ważności podpisu elektronicznego i integralności podpisanego dokumentu oraz dacie tej weryfikacji (na przykład: „podpis elektroniczny zweryfikowany w dniu …[data]; wynik weryfikacji: ważny/nieważny/brak możliwości weryfikacji”), a także czytelny podpis sporządzającego wydruk.</w:t>
      </w:r>
    </w:p>
    <w:p w:rsidR="00D22C8D" w:rsidRDefault="00D22C8D">
      <w:pPr>
        <w:numPr>
          <w:ilvl w:val="0"/>
          <w:numId w:val="23"/>
        </w:numPr>
        <w:ind w:left="284" w:hanging="284"/>
        <w:jc w:val="both"/>
        <w:rPr>
          <w:rFonts w:ascii="Palatino Linotype" w:hAnsi="Palatino Linotype" w:cs="Palatino Linotype"/>
          <w:sz w:val="28"/>
          <w:szCs w:val="28"/>
        </w:rPr>
      </w:pPr>
      <w:r>
        <w:rPr>
          <w:rFonts w:ascii="Palatino Linotype" w:hAnsi="Palatino Linotype" w:cs="Palatino Linotype"/>
          <w:sz w:val="24"/>
          <w:szCs w:val="24"/>
        </w:rPr>
        <w:lastRenderedPageBreak/>
        <w:t>Na wydruk UPO nanosi się tylko czytelny podpis sporządzającego wydruk oraz datę wykonania wydruku.</w:t>
      </w:r>
    </w:p>
    <w:p w:rsidR="00D22C8D" w:rsidRDefault="00D22C8D">
      <w:pPr>
        <w:pStyle w:val="Nagwek1"/>
        <w:jc w:val="center"/>
        <w:rPr>
          <w:rFonts w:ascii="Palatino Linotype" w:hAnsi="Palatino Linotype" w:cs="Palatino Linotype"/>
          <w:sz w:val="26"/>
          <w:szCs w:val="26"/>
        </w:rPr>
      </w:pPr>
      <w:r>
        <w:rPr>
          <w:rFonts w:ascii="Palatino Linotype" w:hAnsi="Palatino Linotype" w:cs="Palatino Linotype"/>
          <w:sz w:val="28"/>
          <w:szCs w:val="28"/>
        </w:rPr>
        <w:t>Rozdział 3</w:t>
      </w:r>
    </w:p>
    <w:p w:rsidR="00D22C8D" w:rsidRDefault="00D22C8D">
      <w:pPr>
        <w:pStyle w:val="Nagwek2"/>
        <w:spacing w:before="0"/>
        <w:jc w:val="center"/>
        <w:rPr>
          <w:sz w:val="24"/>
          <w:szCs w:val="24"/>
        </w:rPr>
      </w:pPr>
      <w:r>
        <w:rPr>
          <w:rFonts w:ascii="Palatino Linotype" w:hAnsi="Palatino Linotype" w:cs="Palatino Linotype"/>
          <w:i w:val="0"/>
          <w:sz w:val="26"/>
          <w:szCs w:val="26"/>
        </w:rPr>
        <w:t>Przeglądanie i przydzielanie przesyłek</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18.</w:t>
      </w:r>
    </w:p>
    <w:p w:rsidR="00D22C8D" w:rsidRDefault="00D22C8D">
      <w:pPr>
        <w:numPr>
          <w:ilvl w:val="0"/>
          <w:numId w:val="10"/>
        </w:numPr>
        <w:ind w:left="284" w:hanging="284"/>
        <w:jc w:val="both"/>
        <w:rPr>
          <w:rFonts w:ascii="Palatino Linotype" w:hAnsi="Palatino Linotype" w:cs="Palatino Linotype"/>
          <w:sz w:val="24"/>
          <w:szCs w:val="24"/>
        </w:rPr>
      </w:pPr>
      <w:r>
        <w:rPr>
          <w:rFonts w:ascii="Palatino Linotype" w:hAnsi="Palatino Linotype" w:cs="Palatino Linotype"/>
          <w:sz w:val="24"/>
          <w:szCs w:val="24"/>
        </w:rPr>
        <w:t>Po wykonaniu czynności związanych z przyjęciem i zarejestrowaniem przesyłek punkt kancelaryjny dokonuje ich rozdziału do właściwych komórek organizacyjnych lub osób oraz przekazania w sposób przyjęty w</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w:t>
      </w:r>
    </w:p>
    <w:p w:rsidR="00D22C8D" w:rsidRDefault="00D22C8D">
      <w:pPr>
        <w:numPr>
          <w:ilvl w:val="0"/>
          <w:numId w:val="10"/>
        </w:numPr>
        <w:ind w:left="284" w:hanging="284"/>
        <w:jc w:val="both"/>
        <w:rPr>
          <w:rFonts w:ascii="Palatino Linotype" w:hAnsi="Palatino Linotype" w:cs="Palatino Linotype"/>
          <w:sz w:val="24"/>
          <w:szCs w:val="24"/>
        </w:rPr>
      </w:pPr>
      <w:r>
        <w:rPr>
          <w:rFonts w:ascii="Palatino Linotype" w:hAnsi="Palatino Linotype" w:cs="Palatino Linotype"/>
          <w:sz w:val="24"/>
          <w:szCs w:val="24"/>
        </w:rPr>
        <w:t xml:space="preserve"> Właściwość komórek organizacyjnych lub osób wynika z podziału zadań i kompetencji w</w:t>
      </w:r>
      <w:r w:rsidR="006B2B93">
        <w:rPr>
          <w:rFonts w:ascii="Palatino Linotype" w:hAnsi="Palatino Linotype" w:cs="Palatino Linotype"/>
          <w:sz w:val="24"/>
          <w:szCs w:val="24"/>
        </w:rPr>
        <w:t xml:space="preserve"> MP37</w:t>
      </w:r>
      <w:r>
        <w:rPr>
          <w:rFonts w:ascii="Palatino Linotype" w:hAnsi="Palatino Linotype" w:cs="Palatino Linotype"/>
          <w:i/>
          <w:sz w:val="24"/>
          <w:szCs w:val="24"/>
        </w:rPr>
        <w:t>.</w:t>
      </w:r>
    </w:p>
    <w:p w:rsidR="00D22C8D" w:rsidRDefault="00D22C8D">
      <w:pPr>
        <w:numPr>
          <w:ilvl w:val="0"/>
          <w:numId w:val="10"/>
        </w:numPr>
        <w:spacing w:before="120"/>
        <w:ind w:left="284" w:hanging="284"/>
        <w:jc w:val="both"/>
        <w:rPr>
          <w:sz w:val="24"/>
          <w:szCs w:val="24"/>
        </w:rPr>
      </w:pPr>
      <w:r>
        <w:rPr>
          <w:rFonts w:ascii="Palatino Linotype" w:hAnsi="Palatino Linotype" w:cs="Palatino Linotype"/>
          <w:sz w:val="24"/>
          <w:szCs w:val="24"/>
        </w:rPr>
        <w:t>W przypadku gdy może to mieć znaczenie dla ustalenia daty lub nadawcy, do przesyłek załącza się koperty.</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19.</w:t>
      </w:r>
    </w:p>
    <w:p w:rsidR="00D22C8D" w:rsidRDefault="00D22C8D">
      <w:pPr>
        <w:numPr>
          <w:ilvl w:val="3"/>
          <w:numId w:val="2"/>
        </w:numPr>
        <w:ind w:left="284" w:hanging="284"/>
        <w:jc w:val="both"/>
        <w:rPr>
          <w:rFonts w:ascii="Palatino Linotype" w:hAnsi="Palatino Linotype" w:cs="Palatino Linotype"/>
          <w:sz w:val="24"/>
          <w:szCs w:val="24"/>
        </w:rPr>
      </w:pPr>
      <w:r>
        <w:rPr>
          <w:rFonts w:ascii="Palatino Linotype" w:hAnsi="Palatino Linotype" w:cs="Palatino Linotype"/>
          <w:sz w:val="24"/>
          <w:szCs w:val="24"/>
        </w:rPr>
        <w:t>Dekretacja przesyłek polega na odręcznym umieszczeniu odpowiednich informacji bezpośrednio na przesyłce, wraz z datą i podpisem dekretującego, chyba że została dokonana z wykorzystaniem narzędzi informatycznych.</w:t>
      </w:r>
    </w:p>
    <w:p w:rsidR="00D22C8D" w:rsidRDefault="00D22C8D">
      <w:pPr>
        <w:numPr>
          <w:ilvl w:val="3"/>
          <w:numId w:val="2"/>
        </w:numPr>
        <w:tabs>
          <w:tab w:val="left" w:pos="142"/>
        </w:tabs>
        <w:ind w:left="284" w:hanging="284"/>
        <w:jc w:val="both"/>
        <w:rPr>
          <w:sz w:val="24"/>
          <w:szCs w:val="24"/>
        </w:rPr>
      </w:pPr>
      <w:r>
        <w:rPr>
          <w:rFonts w:ascii="Palatino Linotype" w:hAnsi="Palatino Linotype" w:cs="Palatino Linotype"/>
          <w:sz w:val="24"/>
          <w:szCs w:val="24"/>
        </w:rPr>
        <w:t>W przypadku wykorzystania narzędzi informatycznych, przenosi się jej treść na przesyłkę wraz z datą i podpisem osoby dokonującej przeniesienia.</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20.</w:t>
      </w:r>
    </w:p>
    <w:p w:rsidR="00D22C8D" w:rsidRDefault="00D22C8D">
      <w:pPr>
        <w:numPr>
          <w:ilvl w:val="0"/>
          <w:numId w:val="4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mogą być przyjęte do załatwienia bezpośrednio przez osobę, do której je skierowano do dekretacji.</w:t>
      </w:r>
    </w:p>
    <w:p w:rsidR="00D22C8D" w:rsidRDefault="00D22C8D">
      <w:pPr>
        <w:numPr>
          <w:ilvl w:val="0"/>
          <w:numId w:val="4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zadekretowane do załatwienia przez komórkę organizacyjną mogą być przyjęte do załatwienia bezpośrednio przez kierownika komórki lub ponownie dekretowane w celu wskazania prowadzącego sprawę. Ponowna dekretacja nie może zmieniać dyspozycji zwierzchnika dotyczących sposobu załatwienia sprawy lub wydłużać wskazanego w pierwszej dekretacji terminu załatwienia sprawy.</w:t>
      </w:r>
    </w:p>
    <w:p w:rsidR="00D22C8D" w:rsidRDefault="00D22C8D">
      <w:pPr>
        <w:numPr>
          <w:ilvl w:val="0"/>
          <w:numId w:val="44"/>
        </w:numPr>
        <w:spacing w:after="120"/>
        <w:ind w:left="284" w:hanging="284"/>
        <w:jc w:val="both"/>
        <w:rPr>
          <w:rFonts w:ascii="Palatino Linotype" w:hAnsi="Palatino Linotype" w:cs="Arial"/>
          <w:sz w:val="24"/>
          <w:szCs w:val="24"/>
        </w:rPr>
      </w:pPr>
      <w:r>
        <w:rPr>
          <w:rFonts w:ascii="Palatino Linotype" w:hAnsi="Palatino Linotype" w:cs="Palatino Linotype"/>
          <w:sz w:val="24"/>
          <w:szCs w:val="24"/>
        </w:rPr>
        <w:t>W przypadku błędnej dekretacji jej zmiany dokonuje dekretujący.</w:t>
      </w:r>
    </w:p>
    <w:p w:rsidR="00D22C8D" w:rsidRDefault="00D22C8D">
      <w:pPr>
        <w:numPr>
          <w:ilvl w:val="0"/>
          <w:numId w:val="44"/>
        </w:numPr>
        <w:spacing w:after="120"/>
        <w:ind w:left="284" w:hanging="284"/>
        <w:jc w:val="both"/>
        <w:rPr>
          <w:sz w:val="24"/>
          <w:szCs w:val="24"/>
        </w:rPr>
      </w:pPr>
      <w:r>
        <w:rPr>
          <w:rFonts w:ascii="Palatino Linotype" w:hAnsi="Palatino Linotype" w:cs="Arial"/>
          <w:sz w:val="24"/>
          <w:szCs w:val="24"/>
        </w:rPr>
        <w:t>W przypadku błędnego rozdzielenia przesyłek odbiorca niezwłocznie przekazuje je zgodnie z właściwością lub do punktu kancelaryjnego.</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21.</w:t>
      </w:r>
    </w:p>
    <w:p w:rsidR="00D22C8D" w:rsidRDefault="00D22C8D">
      <w:pPr>
        <w:numPr>
          <w:ilvl w:val="0"/>
          <w:numId w:val="9"/>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przesyłka dotyczy sprawy wchodzącej w zakres zadań różnych komórek organizacyjnych lub prowadzących sprawy, w dekretacji wskazuje się komórkę organizacyjną lub prowadzącego sprawę, do którego należy ostateczne załatwienie sprawy. Wyznaczona komórka organizacyjna lub prowadzący sprawę stanowi wtedy komórkę merytoryczną.</w:t>
      </w:r>
    </w:p>
    <w:p w:rsidR="00D22C8D" w:rsidRDefault="00D22C8D">
      <w:pPr>
        <w:numPr>
          <w:ilvl w:val="0"/>
          <w:numId w:val="9"/>
        </w:numPr>
        <w:spacing w:after="120"/>
        <w:ind w:left="284" w:hanging="284"/>
        <w:jc w:val="both"/>
        <w:rPr>
          <w:rFonts w:ascii="Palatino Linotype" w:hAnsi="Palatino Linotype" w:cs="Palatino Linotype"/>
          <w:sz w:val="28"/>
          <w:szCs w:val="28"/>
        </w:rPr>
      </w:pPr>
      <w:r>
        <w:rPr>
          <w:rFonts w:ascii="Palatino Linotype" w:hAnsi="Palatino Linotype" w:cs="Palatino Linotype"/>
          <w:sz w:val="24"/>
          <w:szCs w:val="24"/>
        </w:rPr>
        <w:t>Jeżeli przesyłka dotyczy kilku spraw, wskazuje się komórki merytoryczne właściwe do załatwienia poszczególnych spraw.</w:t>
      </w:r>
    </w:p>
    <w:p w:rsidR="00D22C8D" w:rsidRDefault="00D22C8D">
      <w:pPr>
        <w:pStyle w:val="Nagwek1"/>
        <w:jc w:val="center"/>
        <w:rPr>
          <w:rFonts w:ascii="Palatino Linotype" w:hAnsi="Palatino Linotype" w:cs="Palatino Linotype"/>
          <w:sz w:val="26"/>
          <w:szCs w:val="26"/>
        </w:rPr>
      </w:pPr>
      <w:r>
        <w:rPr>
          <w:rFonts w:ascii="Palatino Linotype" w:hAnsi="Palatino Linotype" w:cs="Palatino Linotype"/>
          <w:sz w:val="28"/>
          <w:szCs w:val="28"/>
        </w:rPr>
        <w:lastRenderedPageBreak/>
        <w:t>Rozdział 4</w:t>
      </w:r>
    </w:p>
    <w:p w:rsidR="00D22C8D" w:rsidRDefault="00D22C8D">
      <w:pPr>
        <w:pStyle w:val="Nagwek2"/>
        <w:spacing w:before="0"/>
        <w:jc w:val="center"/>
        <w:rPr>
          <w:sz w:val="24"/>
          <w:szCs w:val="24"/>
        </w:rPr>
      </w:pPr>
      <w:r>
        <w:rPr>
          <w:rFonts w:ascii="Palatino Linotype" w:hAnsi="Palatino Linotype" w:cs="Palatino Linotype"/>
          <w:i w:val="0"/>
          <w:sz w:val="26"/>
          <w:szCs w:val="26"/>
        </w:rPr>
        <w:t>Rejestracja spraw i sposób ich dokumentowania</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22.</w:t>
      </w:r>
    </w:p>
    <w:p w:rsidR="00D22C8D" w:rsidRDefault="00D22C8D">
      <w:pPr>
        <w:numPr>
          <w:ilvl w:val="0"/>
          <w:numId w:val="57"/>
        </w:numPr>
        <w:ind w:left="426" w:hanging="426"/>
        <w:jc w:val="both"/>
        <w:rPr>
          <w:rFonts w:ascii="Palatino Linotype" w:hAnsi="Palatino Linotype" w:cs="Palatino Linotype"/>
          <w:sz w:val="24"/>
          <w:szCs w:val="24"/>
        </w:rPr>
      </w:pPr>
      <w:r>
        <w:rPr>
          <w:rFonts w:ascii="Palatino Linotype" w:hAnsi="Palatino Linotype" w:cs="Palatino Linotype"/>
          <w:sz w:val="24"/>
          <w:szCs w:val="24"/>
        </w:rPr>
        <w:t xml:space="preserve">Dokumentacja nadsyłana i składana </w:t>
      </w:r>
      <w:r w:rsidR="006B2B93">
        <w:rPr>
          <w:rFonts w:ascii="Palatino Linotype" w:hAnsi="Palatino Linotype" w:cs="Palatino Linotype"/>
          <w:sz w:val="24"/>
          <w:szCs w:val="24"/>
        </w:rPr>
        <w:t>w MP37</w:t>
      </w:r>
      <w:r>
        <w:rPr>
          <w:rFonts w:ascii="Palatino Linotype" w:hAnsi="Palatino Linotype" w:cs="Palatino Linotype"/>
          <w:sz w:val="24"/>
          <w:szCs w:val="24"/>
        </w:rPr>
        <w:t xml:space="preserve"> oraz w nim powstająca dzieli się ze względu na sposób jej rejestrowania i przechowywania na:</w:t>
      </w:r>
    </w:p>
    <w:p w:rsidR="00D22C8D" w:rsidRDefault="00D22C8D">
      <w:pPr>
        <w:numPr>
          <w:ilvl w:val="0"/>
          <w:numId w:val="11"/>
        </w:numPr>
        <w:ind w:left="284" w:firstLine="142"/>
        <w:jc w:val="both"/>
        <w:rPr>
          <w:rFonts w:ascii="Palatino Linotype" w:hAnsi="Palatino Linotype" w:cs="Palatino Linotype"/>
          <w:sz w:val="24"/>
          <w:szCs w:val="24"/>
        </w:rPr>
      </w:pPr>
      <w:r>
        <w:rPr>
          <w:rFonts w:ascii="Palatino Linotype" w:hAnsi="Palatino Linotype" w:cs="Palatino Linotype"/>
          <w:sz w:val="24"/>
          <w:szCs w:val="24"/>
        </w:rPr>
        <w:t>tworzącą akta sprawy;</w:t>
      </w:r>
    </w:p>
    <w:p w:rsidR="00D22C8D" w:rsidRDefault="00D22C8D">
      <w:pPr>
        <w:numPr>
          <w:ilvl w:val="0"/>
          <w:numId w:val="11"/>
        </w:numPr>
        <w:ind w:left="284" w:firstLine="142"/>
        <w:jc w:val="both"/>
        <w:rPr>
          <w:rFonts w:ascii="Palatino Linotype" w:hAnsi="Palatino Linotype" w:cs="Palatino Linotype"/>
          <w:sz w:val="24"/>
          <w:szCs w:val="24"/>
        </w:rPr>
      </w:pPr>
      <w:r>
        <w:rPr>
          <w:rFonts w:ascii="Palatino Linotype" w:hAnsi="Palatino Linotype" w:cs="Palatino Linotype"/>
          <w:sz w:val="24"/>
          <w:szCs w:val="24"/>
        </w:rPr>
        <w:t>nietworzącą akt sprawy.</w:t>
      </w:r>
    </w:p>
    <w:p w:rsidR="00D22C8D" w:rsidRDefault="00D22C8D">
      <w:pPr>
        <w:numPr>
          <w:ilvl w:val="0"/>
          <w:numId w:val="57"/>
        </w:numPr>
        <w:spacing w:after="120"/>
        <w:ind w:left="426" w:hanging="426"/>
        <w:jc w:val="both"/>
        <w:rPr>
          <w:rFonts w:ascii="Palatino Linotype" w:hAnsi="Palatino Linotype" w:cs="Palatino Linotype"/>
          <w:sz w:val="24"/>
          <w:szCs w:val="24"/>
        </w:rPr>
      </w:pPr>
      <w:r>
        <w:rPr>
          <w:rFonts w:ascii="Palatino Linotype" w:hAnsi="Palatino Linotype" w:cs="Palatino Linotype"/>
          <w:sz w:val="24"/>
          <w:szCs w:val="24"/>
        </w:rPr>
        <w:t>Dokumentacja tworząca akta sprawy to dokumentacja, która została przyporządkowana do sprawy i otrzymała znak sprawy.</w:t>
      </w:r>
    </w:p>
    <w:p w:rsidR="00D22C8D" w:rsidRDefault="00D22C8D">
      <w:pPr>
        <w:numPr>
          <w:ilvl w:val="0"/>
          <w:numId w:val="57"/>
        </w:numPr>
        <w:spacing w:after="120"/>
        <w:ind w:left="426" w:hanging="426"/>
        <w:jc w:val="both"/>
        <w:rPr>
          <w:sz w:val="24"/>
          <w:szCs w:val="24"/>
        </w:rPr>
      </w:pPr>
      <w:r>
        <w:rPr>
          <w:rFonts w:ascii="Palatino Linotype" w:hAnsi="Palatino Linotype" w:cs="Palatino Linotype"/>
          <w:sz w:val="24"/>
          <w:szCs w:val="24"/>
        </w:rPr>
        <w:t>Dokumentacja nietworząca akt sprawy to dokumentacja, która nie została przyporządkowana do sprawy, a jedynie do klasy z wykazu akt.</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23.</w:t>
      </w:r>
    </w:p>
    <w:p w:rsidR="00D22C8D" w:rsidRDefault="00D22C8D">
      <w:pPr>
        <w:numPr>
          <w:ilvl w:val="0"/>
          <w:numId w:val="3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Znak sprawy jest stałą cechą rozpoznawczą całości akt danej sprawy.</w:t>
      </w:r>
    </w:p>
    <w:p w:rsidR="00D22C8D" w:rsidRDefault="00D22C8D">
      <w:pPr>
        <w:numPr>
          <w:ilvl w:val="0"/>
          <w:numId w:val="3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Znak sprawy zawiera umieszczone kolejno następujące elementy:</w:t>
      </w:r>
    </w:p>
    <w:p w:rsidR="00D22C8D" w:rsidRDefault="00D22C8D">
      <w:pPr>
        <w:numPr>
          <w:ilvl w:val="0"/>
          <w:numId w:val="61"/>
        </w:numPr>
        <w:ind w:left="567" w:hanging="283"/>
        <w:jc w:val="both"/>
        <w:rPr>
          <w:rFonts w:ascii="Palatino Linotype" w:hAnsi="Palatino Linotype" w:cs="Palatino Linotype"/>
          <w:sz w:val="24"/>
          <w:szCs w:val="24"/>
        </w:rPr>
      </w:pPr>
      <w:r>
        <w:rPr>
          <w:rFonts w:ascii="Palatino Linotype" w:hAnsi="Palatino Linotype" w:cs="Palatino Linotype"/>
          <w:sz w:val="24"/>
          <w:szCs w:val="24"/>
        </w:rPr>
        <w:t>oznaczenie komórki organizacyjnej;</w:t>
      </w:r>
    </w:p>
    <w:p w:rsidR="00D22C8D" w:rsidRDefault="00D22C8D">
      <w:pPr>
        <w:numPr>
          <w:ilvl w:val="0"/>
          <w:numId w:val="61"/>
        </w:numPr>
        <w:ind w:left="567" w:hanging="283"/>
        <w:jc w:val="both"/>
        <w:rPr>
          <w:rFonts w:ascii="Palatino Linotype" w:hAnsi="Palatino Linotype" w:cs="Palatino Linotype"/>
          <w:sz w:val="24"/>
          <w:szCs w:val="24"/>
        </w:rPr>
      </w:pPr>
      <w:r>
        <w:rPr>
          <w:rFonts w:ascii="Palatino Linotype" w:hAnsi="Palatino Linotype" w:cs="Palatino Linotype"/>
          <w:sz w:val="24"/>
          <w:szCs w:val="24"/>
        </w:rPr>
        <w:t>symbol klasyfikacyjny z wykazu akt;</w:t>
      </w:r>
    </w:p>
    <w:p w:rsidR="00D22C8D" w:rsidRDefault="00D22C8D">
      <w:pPr>
        <w:numPr>
          <w:ilvl w:val="0"/>
          <w:numId w:val="61"/>
        </w:numPr>
        <w:ind w:left="567" w:hanging="283"/>
        <w:jc w:val="both"/>
        <w:rPr>
          <w:rFonts w:ascii="Palatino Linotype" w:hAnsi="Palatino Linotype" w:cs="Palatino Linotype"/>
          <w:sz w:val="24"/>
          <w:szCs w:val="24"/>
        </w:rPr>
      </w:pPr>
      <w:r>
        <w:rPr>
          <w:rFonts w:ascii="Palatino Linotype" w:hAnsi="Palatino Linotype" w:cs="Palatino Linotype"/>
          <w:sz w:val="24"/>
          <w:szCs w:val="24"/>
        </w:rPr>
        <w:t>kolejny numer sprawy, wynikający ze spisu spraw;</w:t>
      </w:r>
    </w:p>
    <w:p w:rsidR="00D22C8D" w:rsidRDefault="00D22C8D">
      <w:pPr>
        <w:numPr>
          <w:ilvl w:val="0"/>
          <w:numId w:val="61"/>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cztery cyfry roku kalendarzowego, w którym sprawa się rozpoczęła.</w:t>
      </w:r>
    </w:p>
    <w:p w:rsidR="00D22C8D" w:rsidRDefault="00D22C8D">
      <w:pPr>
        <w:numPr>
          <w:ilvl w:val="0"/>
          <w:numId w:val="38"/>
        </w:numPr>
        <w:spacing w:after="120"/>
        <w:ind w:left="284" w:hanging="284"/>
        <w:jc w:val="both"/>
        <w:rPr>
          <w:rFonts w:ascii="Palatino Linotype" w:hAnsi="Palatino Linotype" w:cs="Palatino Linotype"/>
        </w:rPr>
      </w:pPr>
      <w:r>
        <w:rPr>
          <w:rFonts w:ascii="Palatino Linotype" w:hAnsi="Palatino Linotype" w:cs="Palatino Linotype"/>
          <w:sz w:val="24"/>
          <w:szCs w:val="24"/>
        </w:rPr>
        <w:t>Poszczególne elementy znaku sprawy umieszcza się w kolejności, o której mowa w ust. 2, i  oddziela kropkami w następujący sposób: [komórka].[symbol].[nr_kolejny].[rok], gdzie:</w:t>
      </w:r>
    </w:p>
    <w:p w:rsidR="00D22C8D" w:rsidRDefault="00D22C8D">
      <w:pPr>
        <w:pStyle w:val="Paragrafkolejneustepy"/>
        <w:numPr>
          <w:ilvl w:val="3"/>
          <w:numId w:val="13"/>
        </w:numPr>
        <w:spacing w:before="0"/>
        <w:ind w:left="568" w:hanging="284"/>
        <w:rPr>
          <w:rFonts w:ascii="Palatino Linotype" w:hAnsi="Palatino Linotype" w:cs="Palatino Linotype"/>
        </w:rPr>
      </w:pPr>
      <w:r>
        <w:rPr>
          <w:rFonts w:ascii="Palatino Linotype" w:hAnsi="Palatino Linotype" w:cs="Palatino Linotype"/>
        </w:rPr>
        <w:t>[komórka] to oznaczenie komórki organizacyjnej, w której założono sprawę, odpowiedzialnej za jej prowadzenie oraz załatwienie, wyrażone ciągiem znaków z zakresu [A-Z, a-z, 0-9], zawierającym co najmniej jedną literę, na przykład ABC, B2, A1c, 11d, b99 itd.;</w:t>
      </w:r>
    </w:p>
    <w:p w:rsidR="00D22C8D" w:rsidRDefault="00D22C8D">
      <w:pPr>
        <w:pStyle w:val="Paragrafkolejneustepy"/>
        <w:numPr>
          <w:ilvl w:val="3"/>
          <w:numId w:val="13"/>
        </w:numPr>
        <w:spacing w:before="0"/>
        <w:ind w:left="568" w:hanging="284"/>
        <w:rPr>
          <w:rFonts w:ascii="Palatino Linotype" w:hAnsi="Palatino Linotype" w:cs="Palatino Linotype"/>
        </w:rPr>
      </w:pPr>
      <w:r>
        <w:rPr>
          <w:rFonts w:ascii="Palatino Linotype" w:hAnsi="Palatino Linotype" w:cs="Palatino Linotype"/>
        </w:rPr>
        <w:t>[symbol] to symbol klasyfikacyjny z wykazu akt;</w:t>
      </w:r>
    </w:p>
    <w:p w:rsidR="00D22C8D" w:rsidRDefault="00D22C8D">
      <w:pPr>
        <w:pStyle w:val="Paragrafkolejneustepy"/>
        <w:numPr>
          <w:ilvl w:val="3"/>
          <w:numId w:val="13"/>
        </w:numPr>
        <w:spacing w:before="0"/>
        <w:ind w:left="568" w:hanging="284"/>
        <w:rPr>
          <w:rFonts w:ascii="Palatino Linotype" w:hAnsi="Palatino Linotype" w:cs="Palatino Linotype"/>
        </w:rPr>
      </w:pPr>
      <w:r>
        <w:rPr>
          <w:rFonts w:ascii="Palatino Linotype" w:hAnsi="Palatino Linotype" w:cs="Palatino Linotype"/>
        </w:rPr>
        <w:t>[nr_kolejny] to liczba naturalna określająca kolejny numer sprawy zakładanej w ramach symbolu klasyfikacyjnego, o którym mowa w pkt 2, w komórce organizacyjnej o której mowa w pkt 1, w danym  roku;</w:t>
      </w:r>
    </w:p>
    <w:p w:rsidR="00D22C8D" w:rsidRDefault="00D22C8D">
      <w:pPr>
        <w:pStyle w:val="Paragrafkolejneustepy"/>
        <w:numPr>
          <w:ilvl w:val="3"/>
          <w:numId w:val="13"/>
        </w:numPr>
        <w:spacing w:before="0"/>
        <w:ind w:left="568" w:hanging="284"/>
        <w:rPr>
          <w:rFonts w:ascii="Palatino Linotype" w:hAnsi="Palatino Linotype" w:cs="Palatino Linotype"/>
        </w:rPr>
      </w:pPr>
      <w:r>
        <w:rPr>
          <w:rFonts w:ascii="Palatino Linotype" w:hAnsi="Palatino Linotype" w:cs="Palatino Linotype"/>
        </w:rPr>
        <w:t>[rok] to czterocyfrowe oznaczenie roku, w którym założono sprawę.</w:t>
      </w:r>
    </w:p>
    <w:p w:rsidR="00D22C8D" w:rsidRDefault="00D22C8D">
      <w:pPr>
        <w:numPr>
          <w:ilvl w:val="0"/>
          <w:numId w:val="38"/>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Oznaczenie komórki organizacyjnej, stanowiące element znaku sprawy, może być przyporządkowane w jednym roku kalendarzowym tylko do jednej komórki organizacyjnej, niezależnie od zmian organizacyjnych</w:t>
      </w:r>
      <w:r w:rsidR="006B2B93">
        <w:rPr>
          <w:rFonts w:ascii="Palatino Linotype" w:hAnsi="Palatino Linotype" w:cs="Palatino Linotype"/>
          <w:sz w:val="24"/>
          <w:szCs w:val="24"/>
        </w:rPr>
        <w:t xml:space="preserve"> w MP37</w:t>
      </w:r>
      <w:r>
        <w:rPr>
          <w:rFonts w:ascii="Palatino Linotype" w:hAnsi="Palatino Linotype" w:cs="Palatino Linotype"/>
          <w:sz w:val="24"/>
          <w:szCs w:val="24"/>
        </w:rPr>
        <w:t>.</w:t>
      </w:r>
    </w:p>
    <w:p w:rsidR="00D22C8D" w:rsidRDefault="00D22C8D">
      <w:pPr>
        <w:numPr>
          <w:ilvl w:val="0"/>
          <w:numId w:val="3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zachodzi potrzeba wydzielenia określonych spraw z danej klasy w wykazie akt w osobne zbiory, to dla danego numeru sprawy, o którym mowa w ust. 2 pkt 3, będącego podstawą wydzielenia grupy spraw, zakłada się oddzielny spis spraw. W takim przypadku znak sprawy konstruuje się następująco:</w:t>
      </w:r>
    </w:p>
    <w:p w:rsidR="00D22C8D" w:rsidRDefault="00D22C8D">
      <w:pPr>
        <w:numPr>
          <w:ilvl w:val="0"/>
          <w:numId w:val="67"/>
        </w:numPr>
        <w:ind w:left="567" w:hanging="283"/>
        <w:jc w:val="both"/>
        <w:rPr>
          <w:rFonts w:ascii="Palatino Linotype" w:hAnsi="Palatino Linotype" w:cs="Palatino Linotype"/>
          <w:sz w:val="24"/>
          <w:szCs w:val="24"/>
        </w:rPr>
      </w:pPr>
      <w:r>
        <w:rPr>
          <w:rFonts w:ascii="Palatino Linotype" w:hAnsi="Palatino Linotype" w:cs="Palatino Linotype"/>
          <w:sz w:val="24"/>
          <w:szCs w:val="24"/>
        </w:rPr>
        <w:t>oznaczenie komórki organizacyjnej;</w:t>
      </w:r>
    </w:p>
    <w:p w:rsidR="00D22C8D" w:rsidRDefault="00D22C8D">
      <w:pPr>
        <w:numPr>
          <w:ilvl w:val="0"/>
          <w:numId w:val="67"/>
        </w:numPr>
        <w:ind w:left="567" w:hanging="283"/>
        <w:jc w:val="both"/>
        <w:rPr>
          <w:rFonts w:ascii="Palatino Linotype" w:hAnsi="Palatino Linotype" w:cs="Palatino Linotype"/>
          <w:sz w:val="24"/>
          <w:szCs w:val="24"/>
        </w:rPr>
      </w:pPr>
      <w:r>
        <w:rPr>
          <w:rFonts w:ascii="Palatino Linotype" w:hAnsi="Palatino Linotype" w:cs="Palatino Linotype"/>
          <w:sz w:val="24"/>
          <w:szCs w:val="24"/>
        </w:rPr>
        <w:lastRenderedPageBreak/>
        <w:t>symbol klasyfikacyjny z wykazu akt;</w:t>
      </w:r>
    </w:p>
    <w:p w:rsidR="00D22C8D" w:rsidRDefault="00D22C8D">
      <w:pPr>
        <w:numPr>
          <w:ilvl w:val="0"/>
          <w:numId w:val="67"/>
        </w:numPr>
        <w:ind w:left="567" w:hanging="283"/>
        <w:jc w:val="both"/>
        <w:rPr>
          <w:rFonts w:ascii="Palatino Linotype" w:hAnsi="Palatino Linotype" w:cs="Palatino Linotype"/>
          <w:sz w:val="24"/>
          <w:szCs w:val="24"/>
        </w:rPr>
      </w:pPr>
      <w:r>
        <w:rPr>
          <w:rFonts w:ascii="Palatino Linotype" w:hAnsi="Palatino Linotype" w:cs="Palatino Linotype"/>
          <w:sz w:val="24"/>
          <w:szCs w:val="24"/>
        </w:rPr>
        <w:t>kolejny numer sprawy, pod którym dokonano wydzielenia grupy spraw;</w:t>
      </w:r>
    </w:p>
    <w:p w:rsidR="00D22C8D" w:rsidRDefault="00D22C8D">
      <w:pPr>
        <w:numPr>
          <w:ilvl w:val="0"/>
          <w:numId w:val="67"/>
        </w:numPr>
        <w:ind w:left="567" w:hanging="283"/>
        <w:jc w:val="both"/>
        <w:rPr>
          <w:rFonts w:ascii="Palatino Linotype" w:hAnsi="Palatino Linotype" w:cs="Palatino Linotype"/>
          <w:sz w:val="24"/>
          <w:szCs w:val="24"/>
        </w:rPr>
      </w:pPr>
      <w:r>
        <w:rPr>
          <w:rFonts w:ascii="Palatino Linotype" w:hAnsi="Palatino Linotype" w:cs="Palatino Linotype"/>
          <w:sz w:val="24"/>
          <w:szCs w:val="24"/>
        </w:rPr>
        <w:t>kolejny numer sprawy, wynikający ze spisu spraw założonego dla numeru sprawy, która jest podstawą wydzielenia;</w:t>
      </w:r>
    </w:p>
    <w:p w:rsidR="00D22C8D" w:rsidRDefault="00D22C8D">
      <w:pPr>
        <w:numPr>
          <w:ilvl w:val="0"/>
          <w:numId w:val="67"/>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cztery cyfry roku kalendarzowego, w którym sprawa się rozpoczęła.</w:t>
      </w:r>
    </w:p>
    <w:p w:rsidR="00D22C8D" w:rsidRDefault="00D22C8D">
      <w:pPr>
        <w:numPr>
          <w:ilvl w:val="0"/>
          <w:numId w:val="38"/>
        </w:numPr>
        <w:spacing w:after="120"/>
        <w:ind w:left="284" w:hanging="284"/>
        <w:jc w:val="both"/>
        <w:rPr>
          <w:rFonts w:ascii="Palatino Linotype" w:hAnsi="Palatino Linotype" w:cs="Palatino Linotype"/>
        </w:rPr>
      </w:pPr>
      <w:r>
        <w:rPr>
          <w:rFonts w:ascii="Palatino Linotype" w:hAnsi="Palatino Linotype" w:cs="Palatino Linotype"/>
          <w:sz w:val="24"/>
          <w:szCs w:val="24"/>
        </w:rPr>
        <w:t>Poszczególne elementy znaku sprawy, o którym mowa w ust. 5, oddziela się kropkami w następujący sposób: [komórka].[symbol].[nr_kolejny].[2nr_kolejny].[rok], gdzie:</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[komórka] to oznaczenie komórki organizacyjnej zakładającej sprawę, odpowiedzialnej za jej prowadzenie oraz załatwienie, wyrażone ciągiem znaków z zakresu [A-Z, a-z, 0-9] zawierającym co najmniej jedną literę, na przykład ABC, B2, A1c, 11d, b99 itd.;</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[symbol] to symbol klasyfikacyjny z wykazu akt;</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[nr_kolejny] to liczba naturalna określająca kolejny numer sprawy będącej podstawą wydzielenia grupy spraw w osobny zbiór, zakładanej w ramach symbolu klasyfikacyjnego o którym mowa w pkt 2, w komórce organizacyjnej o której mowa w pkt 1, w danym roku;</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[2nr_kolejny] to liczba naturalna określająca kolejny numer sprawy zakładanej w ramach wydzielonej grupy spraw, o której mowa w pkt 3,</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[rok] to czterocyfrowe oznaczenie roku, w którym założono sprawę.</w:t>
      </w:r>
    </w:p>
    <w:p w:rsidR="00D22C8D" w:rsidRDefault="00D22C8D">
      <w:pPr>
        <w:numPr>
          <w:ilvl w:val="0"/>
          <w:numId w:val="38"/>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Dopuszcza się stosowanie w oznaczeniu komórki organizacyjnej znaku rozdzielającego minus w następujący sposób: AB-C, B-2, A1-c, 11-d, b9-9 itd.</w:t>
      </w:r>
    </w:p>
    <w:p w:rsidR="00D22C8D" w:rsidRDefault="00D22C8D">
      <w:pPr>
        <w:numPr>
          <w:ilvl w:val="0"/>
          <w:numId w:val="38"/>
        </w:numPr>
        <w:spacing w:after="120"/>
        <w:ind w:left="284" w:hanging="284"/>
        <w:jc w:val="both"/>
        <w:rPr>
          <w:rFonts w:ascii="Palatino Linotype" w:hAnsi="Palatino Linotype" w:cs="Palatino Linotype"/>
        </w:rPr>
      </w:pPr>
      <w:r>
        <w:rPr>
          <w:rFonts w:ascii="Palatino Linotype" w:hAnsi="Palatino Linotype" w:cs="Palatino Linotype"/>
          <w:sz w:val="24"/>
          <w:szCs w:val="24"/>
        </w:rPr>
        <w:t>Oznaczając pismo znakiem sprawy, można:</w:t>
      </w:r>
    </w:p>
    <w:p w:rsidR="00D22C8D" w:rsidRDefault="00D22C8D">
      <w:pPr>
        <w:pStyle w:val="Paragrafkolejneustepy"/>
        <w:numPr>
          <w:ilvl w:val="3"/>
          <w:numId w:val="82"/>
        </w:numPr>
        <w:tabs>
          <w:tab w:val="left" w:pos="567"/>
        </w:tabs>
        <w:spacing w:before="0"/>
        <w:ind w:left="568" w:hanging="284"/>
        <w:rPr>
          <w:rFonts w:ascii="Palatino Linotype" w:hAnsi="Palatino Linotype" w:cs="Palatino Linotype"/>
        </w:rPr>
      </w:pPr>
      <w:r>
        <w:rPr>
          <w:rFonts w:ascii="Palatino Linotype" w:hAnsi="Palatino Linotype" w:cs="Palatino Linotype"/>
        </w:rPr>
        <w:t>po znaku sprawy umieścić numer kolejny pisma wychodzącego w sprawie oddzielając go od znaku sprawy kropką w następujący sposób: [znak_sprawy].</w:t>
      </w:r>
      <w:r>
        <w:rPr>
          <w:rFonts w:ascii="Palatino Linotype" w:hAnsi="Palatino Linotype" w:cs="Palatino Linotype"/>
          <w:i/>
          <w:iCs/>
        </w:rPr>
        <w:t>n,</w:t>
      </w:r>
      <w:r>
        <w:rPr>
          <w:rFonts w:ascii="Palatino Linotype" w:hAnsi="Palatino Linotype" w:cs="Palatino Linotype"/>
        </w:rPr>
        <w:t xml:space="preserve"> gdzie </w:t>
      </w:r>
      <w:r>
        <w:rPr>
          <w:rFonts w:ascii="Palatino Linotype" w:hAnsi="Palatino Linotype" w:cs="Palatino Linotype"/>
          <w:i/>
          <w:iCs/>
        </w:rPr>
        <w:t>n</w:t>
      </w:r>
      <w:r>
        <w:rPr>
          <w:rFonts w:ascii="Palatino Linotype" w:hAnsi="Palatino Linotype" w:cs="Palatino Linotype"/>
        </w:rPr>
        <w:t xml:space="preserve"> jest liczbą naturalną określającą numer kolejny pisma w sprawie;</w:t>
      </w:r>
    </w:p>
    <w:p w:rsidR="00D22C8D" w:rsidRDefault="00D22C8D">
      <w:pPr>
        <w:pStyle w:val="Paragrafkolejneustepy"/>
        <w:numPr>
          <w:ilvl w:val="3"/>
          <w:numId w:val="82"/>
        </w:numPr>
        <w:tabs>
          <w:tab w:val="left" w:pos="567"/>
        </w:tabs>
        <w:spacing w:before="0"/>
        <w:ind w:left="568" w:hanging="284"/>
      </w:pPr>
      <w:r>
        <w:rPr>
          <w:rFonts w:ascii="Palatino Linotype" w:hAnsi="Palatino Linotype" w:cs="Palatino Linotype"/>
        </w:rPr>
        <w:t>po znaku sprawy lub po numerze, określonym w pkt 1, umieścić symbol prowadzącego sprawę, oddzielając go kropką w następujący sposób: [znak_sprawy].[prowadzący] lub [znak_sprawy].</w:t>
      </w:r>
      <w:r>
        <w:rPr>
          <w:rFonts w:ascii="Palatino Linotype" w:hAnsi="Palatino Linotype" w:cs="Palatino Linotype"/>
          <w:i/>
          <w:iCs/>
        </w:rPr>
        <w:t>n</w:t>
      </w:r>
      <w:r>
        <w:rPr>
          <w:rFonts w:ascii="Palatino Linotype" w:hAnsi="Palatino Linotype" w:cs="Palatino Linotype"/>
        </w:rPr>
        <w:t>.[prowadzący], gdzie [prowadzący] to oznaczenie prowadzącego sprawę, wyrażone ciągiem znaków z zakresu [A-Z, a-z, 0-9] zawierającym co najmniej jedną literę, na przykład AB, a1, ad99 itd.</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24.</w:t>
      </w:r>
    </w:p>
    <w:p w:rsidR="00D22C8D" w:rsidRDefault="00D22C8D">
      <w:pPr>
        <w:numPr>
          <w:ilvl w:val="0"/>
          <w:numId w:val="77"/>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Dokumentacja nietworząca akt sprawy nie jest rejestrowana w spisach spraw, lecz gromadzona w teczkach aktowych, zakładanych dla klas końcowych w jednolitym rzeczowym wykazie akt.</w:t>
      </w:r>
    </w:p>
    <w:p w:rsidR="00D22C8D" w:rsidRDefault="00D22C8D">
      <w:pPr>
        <w:numPr>
          <w:ilvl w:val="0"/>
          <w:numId w:val="77"/>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Dokumentację, o której mowa w ust. 1, mogą stanowić w szczególności:</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4"/>
        </w:rPr>
        <w:lastRenderedPageBreak/>
        <w:t>zaproszenia, życzenia, podziękowania, kondolencje, jeżeli zostały zarejestrowane jako przesyłki wpływające i jednocześnie nie stanowią części akt sprawy;</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niezamawiane oferty, jeżeli zostały zarejestrowane jako przesyłki wpływające i jednocześnie nie stanowią części akt sprawy;</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dokumentacja finansowo-księgowa, w szczególności rachunki, faktury, inne dokumenty księgowe;</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listy obecności;</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karty urlopowe;</w:t>
      </w:r>
    </w:p>
    <w:p w:rsidR="00D22C8D" w:rsidRDefault="00D22C8D">
      <w:pPr>
        <w:numPr>
          <w:ilvl w:val="0"/>
          <w:numId w:val="73"/>
        </w:numPr>
        <w:ind w:left="709" w:hanging="425"/>
        <w:jc w:val="both"/>
        <w:rPr>
          <w:rFonts w:ascii="Palatino Linotype" w:hAnsi="Palatino Linotype" w:cs="Palatino Linotype"/>
          <w:sz w:val="24"/>
          <w:szCs w:val="22"/>
        </w:rPr>
      </w:pPr>
      <w:r>
        <w:rPr>
          <w:rFonts w:ascii="Palatino Linotype" w:hAnsi="Palatino Linotype" w:cs="Palatino Linotype"/>
          <w:sz w:val="24"/>
          <w:szCs w:val="24"/>
        </w:rPr>
        <w:t>dokumentacja magazynowa;</w:t>
      </w:r>
    </w:p>
    <w:p w:rsidR="00D22C8D" w:rsidRDefault="00D22C8D">
      <w:pPr>
        <w:numPr>
          <w:ilvl w:val="0"/>
          <w:numId w:val="73"/>
        </w:numPr>
        <w:ind w:left="709" w:hanging="425"/>
        <w:jc w:val="both"/>
        <w:rPr>
          <w:rFonts w:ascii="Palatino Linotype" w:hAnsi="Palatino Linotype" w:cs="Palatino Linotype"/>
          <w:sz w:val="24"/>
          <w:szCs w:val="22"/>
        </w:rPr>
      </w:pPr>
      <w:r>
        <w:rPr>
          <w:rFonts w:ascii="Palatino Linotype" w:hAnsi="Palatino Linotype" w:cs="Palatino Linotype"/>
          <w:sz w:val="24"/>
          <w:szCs w:val="22"/>
        </w:rPr>
        <w:t>środki ewidencyjne składnicy akt;</w:t>
      </w:r>
      <w:r>
        <w:rPr>
          <w:rFonts w:ascii="Palatino Linotype" w:hAnsi="Palatino Linotype" w:cs="Palatino Linotype"/>
          <w:i/>
          <w:sz w:val="24"/>
          <w:szCs w:val="22"/>
        </w:rPr>
        <w:t xml:space="preserve"> </w:t>
      </w:r>
    </w:p>
    <w:p w:rsidR="00D22C8D" w:rsidRDefault="00D22C8D">
      <w:pPr>
        <w:numPr>
          <w:ilvl w:val="0"/>
          <w:numId w:val="73"/>
        </w:numPr>
        <w:ind w:left="709" w:hanging="425"/>
        <w:jc w:val="both"/>
        <w:rPr>
          <w:rFonts w:ascii="Palatino Linotype" w:hAnsi="Palatino Linotype" w:cs="Palatino Linotype"/>
          <w:sz w:val="24"/>
          <w:szCs w:val="22"/>
        </w:rPr>
      </w:pPr>
      <w:r>
        <w:rPr>
          <w:rFonts w:ascii="Palatino Linotype" w:hAnsi="Palatino Linotype" w:cs="Palatino Linotype"/>
          <w:sz w:val="24"/>
          <w:szCs w:val="22"/>
        </w:rPr>
        <w:t xml:space="preserve">dane w systemach teleinformatycznych dedykowanych </w:t>
      </w:r>
      <w:r>
        <w:rPr>
          <w:rFonts w:ascii="Palatino Linotype" w:hAnsi="Palatino Linotype" w:cs="Palatino Linotype"/>
          <w:sz w:val="24"/>
          <w:szCs w:val="24"/>
        </w:rPr>
        <w:t>do realizacji określonych wyspecjalizowanych usług oraz spraw,</w:t>
      </w:r>
      <w:r>
        <w:rPr>
          <w:rFonts w:ascii="Palatino Linotype" w:hAnsi="Palatino Linotype" w:cs="Palatino Linotype"/>
          <w:sz w:val="24"/>
          <w:szCs w:val="22"/>
        </w:rPr>
        <w:t xml:space="preserve"> w szczególności dane w systemie udostępniającym automatycznie dane z określonego rejestru, dane przesyłane za pomocą środków komunikacji elektronicznej automatycznie tworzące rejestr;</w:t>
      </w:r>
    </w:p>
    <w:p w:rsidR="00D22C8D" w:rsidRDefault="00D22C8D">
      <w:pPr>
        <w:numPr>
          <w:ilvl w:val="0"/>
          <w:numId w:val="73"/>
        </w:numPr>
        <w:ind w:left="709" w:hanging="425"/>
        <w:jc w:val="both"/>
        <w:rPr>
          <w:rFonts w:ascii="Palatino Linotype" w:hAnsi="Palatino Linotype" w:cs="Palatino Linotype"/>
          <w:sz w:val="24"/>
          <w:szCs w:val="24"/>
        </w:rPr>
      </w:pPr>
      <w:r>
        <w:rPr>
          <w:rFonts w:ascii="Palatino Linotype" w:hAnsi="Palatino Linotype" w:cs="Palatino Linotype"/>
          <w:sz w:val="24"/>
          <w:szCs w:val="22"/>
        </w:rPr>
        <w:t>rejestry i ewidencje, w szczególności środków trwałych, wypożyczeń</w:t>
      </w:r>
      <w:r>
        <w:rPr>
          <w:rFonts w:ascii="Palatino Linotype" w:hAnsi="Palatino Linotype" w:cs="Palatino Linotype"/>
          <w:sz w:val="24"/>
          <w:szCs w:val="24"/>
        </w:rPr>
        <w:t xml:space="preserve"> sprzętu, materiałów biurowych, zbiorów bibliotecznych,</w:t>
      </w:r>
    </w:p>
    <w:p w:rsidR="00D22C8D" w:rsidRDefault="00D22C8D">
      <w:pPr>
        <w:numPr>
          <w:ilvl w:val="0"/>
          <w:numId w:val="73"/>
        </w:numPr>
        <w:ind w:left="567" w:hanging="283"/>
        <w:jc w:val="both"/>
        <w:rPr>
          <w:sz w:val="24"/>
          <w:szCs w:val="24"/>
        </w:rPr>
      </w:pPr>
      <w:r>
        <w:rPr>
          <w:rFonts w:ascii="Palatino Linotype" w:hAnsi="Palatino Linotype" w:cs="Palatino Linotype"/>
          <w:sz w:val="24"/>
          <w:szCs w:val="24"/>
        </w:rPr>
        <w:t>dokumentacja o charakterze pomocniczym, o której mowa w § 2.</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25.</w:t>
      </w:r>
    </w:p>
    <w:p w:rsidR="00D22C8D" w:rsidRDefault="00D22C8D">
      <w:pPr>
        <w:numPr>
          <w:ilvl w:val="0"/>
          <w:numId w:val="71"/>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Prowadzący sprawę sprawdza, czy przekazana bezpośrednio lub w drodze dekretacji przesyłka:</w:t>
      </w:r>
    </w:p>
    <w:p w:rsidR="00D22C8D" w:rsidRDefault="00D22C8D">
      <w:pPr>
        <w:numPr>
          <w:ilvl w:val="0"/>
          <w:numId w:val="76"/>
        </w:numPr>
        <w:ind w:left="568" w:hanging="284"/>
        <w:jc w:val="both"/>
        <w:rPr>
          <w:rFonts w:ascii="Palatino Linotype" w:hAnsi="Palatino Linotype" w:cs="Palatino Linotype"/>
          <w:sz w:val="24"/>
          <w:szCs w:val="24"/>
        </w:rPr>
      </w:pPr>
      <w:r>
        <w:rPr>
          <w:rFonts w:ascii="Palatino Linotype" w:hAnsi="Palatino Linotype" w:cs="Palatino Linotype"/>
          <w:sz w:val="24"/>
          <w:szCs w:val="24"/>
        </w:rPr>
        <w:t>dotyczy sprawy już wszczętej;</w:t>
      </w:r>
    </w:p>
    <w:p w:rsidR="00D22C8D" w:rsidRDefault="00D22C8D">
      <w:pPr>
        <w:numPr>
          <w:ilvl w:val="0"/>
          <w:numId w:val="76"/>
        </w:numPr>
        <w:spacing w:after="120"/>
        <w:ind w:left="568" w:hanging="284"/>
        <w:jc w:val="both"/>
        <w:rPr>
          <w:rFonts w:ascii="Palatino Linotype" w:hAnsi="Palatino Linotype" w:cs="Palatino Linotype"/>
          <w:sz w:val="24"/>
          <w:szCs w:val="24"/>
        </w:rPr>
      </w:pPr>
      <w:r>
        <w:rPr>
          <w:rFonts w:ascii="Palatino Linotype" w:hAnsi="Palatino Linotype" w:cs="Palatino Linotype"/>
          <w:sz w:val="24"/>
          <w:szCs w:val="24"/>
        </w:rPr>
        <w:t>rozpoczyna nową sprawę.</w:t>
      </w:r>
    </w:p>
    <w:p w:rsidR="00D22C8D" w:rsidRDefault="00D22C8D">
      <w:pPr>
        <w:numPr>
          <w:ilvl w:val="0"/>
          <w:numId w:val="71"/>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o którym mowa w ust. 1 pkt 1, prowadzący sprawę dołącza przesyłkę do akt sprawy, nanosząc na nią znak sprawy.</w:t>
      </w:r>
    </w:p>
    <w:p w:rsidR="00D22C8D" w:rsidRDefault="00D22C8D">
      <w:pPr>
        <w:numPr>
          <w:ilvl w:val="0"/>
          <w:numId w:val="71"/>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o którym mowa w ust. 1 pkt 2, prowadzący sprawę traktuje przesyłkę jako podstawę założenia sprawy, wpisując odpowiednie dane do spisu spraw oraz nanosząc na nią znak sprawy.</w:t>
      </w:r>
    </w:p>
    <w:p w:rsidR="00D22C8D" w:rsidRDefault="00D22C8D">
      <w:pPr>
        <w:numPr>
          <w:ilvl w:val="0"/>
          <w:numId w:val="71"/>
        </w:numPr>
        <w:spacing w:after="120"/>
        <w:ind w:left="284" w:hanging="284"/>
        <w:jc w:val="both"/>
        <w:rPr>
          <w:sz w:val="24"/>
          <w:szCs w:val="24"/>
        </w:rPr>
      </w:pPr>
      <w:r>
        <w:rPr>
          <w:rFonts w:ascii="Palatino Linotype" w:hAnsi="Palatino Linotype" w:cs="Palatino Linotype"/>
          <w:sz w:val="24"/>
          <w:szCs w:val="24"/>
        </w:rPr>
        <w:t>Znak sprawy nanosi się w górnej części pisma na jego pierwszej stronie.</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26.</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Spis spraw zawiera następujące dane:</w:t>
      </w:r>
    </w:p>
    <w:p w:rsidR="00D22C8D" w:rsidRDefault="00D22C8D">
      <w:pPr>
        <w:numPr>
          <w:ilvl w:val="0"/>
          <w:numId w:val="12"/>
        </w:numPr>
        <w:ind w:left="567" w:hanging="283"/>
        <w:jc w:val="both"/>
        <w:rPr>
          <w:rFonts w:ascii="Palatino Linotype" w:hAnsi="Palatino Linotype" w:cs="Palatino Linotype"/>
          <w:sz w:val="24"/>
          <w:szCs w:val="24"/>
        </w:rPr>
      </w:pPr>
      <w:r>
        <w:rPr>
          <w:rFonts w:ascii="Palatino Linotype" w:hAnsi="Palatino Linotype" w:cs="Palatino Linotype"/>
          <w:sz w:val="24"/>
          <w:szCs w:val="24"/>
        </w:rPr>
        <w:t>odnoszące się do całego spisu</w:t>
      </w:r>
      <w:r>
        <w:rPr>
          <w:rFonts w:ascii="Palatino Linotype" w:hAnsi="Palatino Linotype" w:cs="Calibri"/>
          <w:sz w:val="24"/>
          <w:szCs w:val="24"/>
        </w:rPr>
        <w:t xml:space="preserve"> spraw, w tym co najmniej</w:t>
      </w:r>
      <w:r>
        <w:rPr>
          <w:rFonts w:ascii="Palatino Linotype" w:hAnsi="Palatino Linotype" w:cs="Palatino Linotype"/>
          <w:sz w:val="24"/>
          <w:szCs w:val="24"/>
        </w:rPr>
        <w:t>:</w:t>
      </w:r>
    </w:p>
    <w:p w:rsidR="00D22C8D" w:rsidRDefault="00D22C8D">
      <w:pPr>
        <w:numPr>
          <w:ilvl w:val="0"/>
          <w:numId w:val="3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oznaczenie roku, w którym zostały założone sprawy znajdujące się w spisie,</w:t>
      </w:r>
    </w:p>
    <w:p w:rsidR="00D22C8D" w:rsidRDefault="00D22C8D">
      <w:pPr>
        <w:numPr>
          <w:ilvl w:val="0"/>
          <w:numId w:val="3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oznaczenie komórki organizacyjnej,</w:t>
      </w:r>
    </w:p>
    <w:p w:rsidR="00D22C8D" w:rsidRDefault="00D22C8D">
      <w:pPr>
        <w:numPr>
          <w:ilvl w:val="0"/>
          <w:numId w:val="3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symbol klasyfikacyjny z wykazu akt,</w:t>
      </w:r>
    </w:p>
    <w:p w:rsidR="00D22C8D" w:rsidRDefault="00D22C8D">
      <w:pPr>
        <w:numPr>
          <w:ilvl w:val="0"/>
          <w:numId w:val="3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hasło klasyfikacyjne z wykazu akt;</w:t>
      </w:r>
    </w:p>
    <w:p w:rsidR="00D22C8D" w:rsidRDefault="00D22C8D">
      <w:pPr>
        <w:numPr>
          <w:ilvl w:val="0"/>
          <w:numId w:val="12"/>
        </w:numPr>
        <w:spacing w:after="120"/>
        <w:ind w:left="567" w:hanging="283"/>
        <w:jc w:val="both"/>
        <w:rPr>
          <w:rFonts w:ascii="Palatino Linotype" w:hAnsi="Palatino Linotype" w:cs="Palatino Linotype"/>
          <w:sz w:val="24"/>
          <w:szCs w:val="24"/>
        </w:rPr>
      </w:pPr>
      <w:r>
        <w:rPr>
          <w:rFonts w:ascii="Palatino Linotype" w:hAnsi="Palatino Linotype" w:cs="Palatino Linotype"/>
          <w:sz w:val="24"/>
          <w:szCs w:val="24"/>
        </w:rPr>
        <w:t>odnoszące się do każdej sprawy w spisie</w:t>
      </w:r>
      <w:r>
        <w:rPr>
          <w:rFonts w:ascii="Palatino Linotype" w:hAnsi="Palatino Linotype" w:cs="Calibri"/>
          <w:sz w:val="24"/>
          <w:szCs w:val="24"/>
        </w:rPr>
        <w:t xml:space="preserve"> spraw, w tym co najmniej</w:t>
      </w:r>
      <w:r>
        <w:rPr>
          <w:rFonts w:ascii="Palatino Linotype" w:hAnsi="Palatino Linotype" w:cs="Palatino Linotype"/>
          <w:sz w:val="24"/>
          <w:szCs w:val="24"/>
        </w:rPr>
        <w:t>:</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liczbę porządkową,</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lastRenderedPageBreak/>
        <w:t>tytuł stanowiący zwięzłe odniesienie się do treści sprawy,</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nazwę nadawcy, od którego sprawa wpłynęła, jeżeli nie jest to sprawa własna,</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znak pisma wszczynającego sprawę, jeżeli nie jest to sprawa własna,</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datę pisma wszczynającego sprawę, jeżeli nie jest to sprawa własna,</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datę wszczęcia sprawy,</w:t>
      </w:r>
    </w:p>
    <w:p w:rsidR="00D22C8D" w:rsidRDefault="00D22C8D">
      <w:pPr>
        <w:numPr>
          <w:ilvl w:val="0"/>
          <w:numId w:val="34"/>
        </w:numPr>
        <w:ind w:left="851" w:hanging="284"/>
        <w:jc w:val="both"/>
        <w:rPr>
          <w:rFonts w:ascii="Palatino Linotype" w:hAnsi="Palatino Linotype" w:cs="Palatino Linotype"/>
          <w:sz w:val="24"/>
          <w:szCs w:val="24"/>
        </w:rPr>
      </w:pPr>
      <w:r>
        <w:rPr>
          <w:rFonts w:ascii="Palatino Linotype" w:hAnsi="Palatino Linotype" w:cs="Palatino Linotype"/>
          <w:sz w:val="24"/>
          <w:szCs w:val="24"/>
        </w:rPr>
        <w:t>datę ostatecznego załatwienia sprawy,</w:t>
      </w:r>
    </w:p>
    <w:p w:rsidR="00D22C8D" w:rsidRDefault="00D22C8D">
      <w:pPr>
        <w:numPr>
          <w:ilvl w:val="0"/>
          <w:numId w:val="34"/>
        </w:numPr>
        <w:spacing w:after="120"/>
        <w:ind w:left="851" w:hanging="284"/>
        <w:jc w:val="both"/>
        <w:rPr>
          <w:rFonts w:ascii="Palatino Linotype" w:hAnsi="Palatino Linotype" w:cs="Palatino Linotype"/>
          <w:sz w:val="24"/>
          <w:szCs w:val="24"/>
        </w:rPr>
      </w:pPr>
      <w:r>
        <w:rPr>
          <w:rFonts w:ascii="Palatino Linotype" w:hAnsi="Palatino Linotype" w:cs="Palatino Linotype"/>
          <w:sz w:val="24"/>
          <w:szCs w:val="24"/>
        </w:rPr>
        <w:t>uwagi zawierające oznaczenie prowadzącego sprawę oraz ewentualnie informację dotyczące sposobu załatwienia sprawy.</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Spis spraw oraz odpowiadającą temu spisowi teczkę aktową do przechowywania w niej spraw ostatecznie załatwionych zakłada się dla klasy końcowej w wykazie akt.</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Na każdy rok kalendarzowy zakłada się nowe spisy spraw i nowe teczki aktowe.</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Dopuszcza się zakładanie teczek aktowych dla podmiotu lub przedmiotu sprawy, w których grupuje się wiele akt spraw, o różnych numerach spraw, ale zarejestrowanych w jednym spisie spraw teczki aktowej. W takim przypadku w teczkach założonych dla podmiotu lub przedmiotu sprawy nie prowadzi się dodatkowych spisów spraw.</w:t>
      </w:r>
    </w:p>
    <w:p w:rsidR="00D22C8D" w:rsidRDefault="00D22C8D">
      <w:pPr>
        <w:numPr>
          <w:ilvl w:val="0"/>
          <w:numId w:val="63"/>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przypadkach określonych odrębnymi przepisami zakłada się teczki zbiorcze, do których odkłada się akta spraw zarejestrowanych w kilku różnych spisach spraw (na przykład akta osobowe).</w:t>
      </w:r>
    </w:p>
    <w:p w:rsidR="00D22C8D" w:rsidRDefault="00D22C8D">
      <w:pPr>
        <w:numPr>
          <w:ilvl w:val="0"/>
          <w:numId w:val="63"/>
        </w:numPr>
        <w:spacing w:after="120"/>
        <w:ind w:left="284" w:hanging="284"/>
        <w:jc w:val="both"/>
        <w:rPr>
          <w:rFonts w:ascii="Palatino Linotype" w:hAnsi="Palatino Linotype" w:cs="Palatino Linotype"/>
          <w:sz w:val="28"/>
          <w:szCs w:val="28"/>
        </w:rPr>
      </w:pPr>
      <w:r>
        <w:rPr>
          <w:rFonts w:ascii="Palatino Linotype" w:hAnsi="Palatino Linotype" w:cs="Palatino Linotype"/>
          <w:sz w:val="24"/>
          <w:szCs w:val="24"/>
        </w:rPr>
        <w:t>Dopuszcza się zakładanie teczek aktowych dla akt jednej sprawy.</w:t>
      </w:r>
    </w:p>
    <w:p w:rsidR="00D22C8D" w:rsidRDefault="00D22C8D">
      <w:pPr>
        <w:pStyle w:val="Nagwek1"/>
        <w:jc w:val="center"/>
        <w:rPr>
          <w:rFonts w:ascii="Palatino Linotype" w:hAnsi="Palatino Linotype" w:cs="Palatino Linotype"/>
          <w:sz w:val="26"/>
          <w:szCs w:val="26"/>
        </w:rPr>
      </w:pPr>
      <w:r>
        <w:rPr>
          <w:rFonts w:ascii="Palatino Linotype" w:hAnsi="Palatino Linotype" w:cs="Palatino Linotype"/>
          <w:sz w:val="28"/>
          <w:szCs w:val="28"/>
        </w:rPr>
        <w:t>Rozdział 5</w:t>
      </w:r>
    </w:p>
    <w:p w:rsidR="00D22C8D" w:rsidRDefault="00D22C8D">
      <w:pPr>
        <w:pStyle w:val="Nagwek2"/>
        <w:spacing w:before="0"/>
        <w:jc w:val="center"/>
        <w:rPr>
          <w:rFonts w:ascii="Palatino Linotype" w:hAnsi="Palatino Linotype" w:cs="Palatino Linotype"/>
          <w:sz w:val="24"/>
          <w:szCs w:val="24"/>
        </w:rPr>
      </w:pPr>
      <w:r>
        <w:rPr>
          <w:rFonts w:ascii="Palatino Linotype" w:hAnsi="Palatino Linotype" w:cs="Palatino Linotype"/>
          <w:i w:val="0"/>
          <w:sz w:val="26"/>
          <w:szCs w:val="26"/>
        </w:rPr>
        <w:t>Załatwianie spraw</w:t>
      </w:r>
    </w:p>
    <w:p w:rsidR="00D22C8D" w:rsidRDefault="00D22C8D">
      <w:pPr>
        <w:spacing w:before="120" w:after="120"/>
        <w:jc w:val="center"/>
        <w:rPr>
          <w:rFonts w:ascii="Palatino Linotype" w:hAnsi="Palatino Linotype" w:cs="Palatino Linotype"/>
          <w:sz w:val="24"/>
          <w:szCs w:val="24"/>
        </w:rPr>
      </w:pPr>
      <w:r>
        <w:rPr>
          <w:rFonts w:ascii="Palatino Linotype" w:hAnsi="Palatino Linotype" w:cs="Palatino Linotype"/>
          <w:sz w:val="24"/>
          <w:szCs w:val="24"/>
        </w:rPr>
        <w:t>§ 27.</w:t>
      </w:r>
    </w:p>
    <w:p w:rsidR="00D22C8D" w:rsidRDefault="00D22C8D">
      <w:pPr>
        <w:numPr>
          <w:ilvl w:val="0"/>
          <w:numId w:val="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 wpisuje do spisu spraw datę ostatecznego załatwienia sprawy.</w:t>
      </w:r>
    </w:p>
    <w:p w:rsidR="00D22C8D" w:rsidRDefault="00D22C8D">
      <w:pPr>
        <w:numPr>
          <w:ilvl w:val="0"/>
          <w:numId w:val="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przesyłka przekazana lub zadekretowana do prowadzącego sprawę nie kończy sprawy, prowadzący sprawę załatwia ją w odpowiednim dla niej trybie, w tym przygotowuje projekty pism.</w:t>
      </w:r>
    </w:p>
    <w:p w:rsidR="00D22C8D" w:rsidRDefault="00D22C8D">
      <w:pPr>
        <w:numPr>
          <w:ilvl w:val="0"/>
          <w:numId w:val="8"/>
        </w:numPr>
        <w:spacing w:after="120"/>
        <w:ind w:left="284" w:hanging="284"/>
        <w:jc w:val="both"/>
        <w:rPr>
          <w:sz w:val="24"/>
          <w:szCs w:val="24"/>
        </w:rPr>
      </w:pPr>
      <w:r>
        <w:rPr>
          <w:rFonts w:ascii="Palatino Linotype" w:hAnsi="Palatino Linotype" w:cs="Palatino Linotype"/>
          <w:sz w:val="24"/>
          <w:szCs w:val="24"/>
        </w:rPr>
        <w:lastRenderedPageBreak/>
        <w:t>Przy sporządzaniu projektu pisma należy wykorzystywać wzory i formularze przewidziane odrębnymi przepisami.</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28.</w:t>
      </w:r>
    </w:p>
    <w:p w:rsidR="00D22C8D" w:rsidRDefault="00D22C8D">
      <w:pPr>
        <w:numPr>
          <w:ilvl w:val="0"/>
          <w:numId w:val="47"/>
        </w:numPr>
        <w:spacing w:after="120"/>
        <w:ind w:left="294" w:hanging="294"/>
        <w:jc w:val="both"/>
        <w:rPr>
          <w:rFonts w:ascii="Palatino Linotype" w:hAnsi="Palatino Linotype" w:cs="Palatino Linotype"/>
          <w:sz w:val="24"/>
          <w:szCs w:val="24"/>
        </w:rPr>
      </w:pPr>
      <w:r>
        <w:rPr>
          <w:rFonts w:ascii="Palatino Linotype" w:hAnsi="Palatino Linotype" w:cs="Palatino Linotype"/>
          <w:sz w:val="24"/>
          <w:szCs w:val="24"/>
        </w:rPr>
        <w:t>Sprawę niezakończoną ostatecznie w ciągu roku załatwia się w latach kolejnych bez zmiany dotychczasowego jej znaku. Elementy znaku sprawy pozostają niezmienne.</w:t>
      </w:r>
    </w:p>
    <w:p w:rsidR="00D22C8D" w:rsidRDefault="00D22C8D">
      <w:pPr>
        <w:numPr>
          <w:ilvl w:val="0"/>
          <w:numId w:val="47"/>
        </w:numPr>
        <w:spacing w:after="120"/>
        <w:ind w:left="294" w:hanging="294"/>
        <w:jc w:val="both"/>
        <w:rPr>
          <w:rFonts w:ascii="Palatino Linotype" w:hAnsi="Palatino Linotype" w:cs="Palatino Linotype"/>
          <w:sz w:val="24"/>
          <w:szCs w:val="24"/>
        </w:rPr>
      </w:pPr>
      <w:r>
        <w:rPr>
          <w:rFonts w:ascii="Palatino Linotype" w:hAnsi="Palatino Linotype" w:cs="Palatino Linotype"/>
          <w:sz w:val="24"/>
          <w:szCs w:val="24"/>
        </w:rPr>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rsidR="00D22C8D" w:rsidRDefault="00D22C8D">
      <w:pPr>
        <w:numPr>
          <w:ilvl w:val="0"/>
          <w:numId w:val="47"/>
        </w:numPr>
        <w:spacing w:after="120"/>
        <w:ind w:left="294" w:hanging="294"/>
        <w:jc w:val="both"/>
        <w:rPr>
          <w:sz w:val="24"/>
          <w:szCs w:val="24"/>
        </w:rPr>
      </w:pPr>
      <w:r>
        <w:rPr>
          <w:rFonts w:ascii="Palatino Linotype" w:hAnsi="Palatino Linotype" w:cs="Palatino Linotype"/>
          <w:sz w:val="24"/>
          <w:szCs w:val="24"/>
        </w:rPr>
        <w:t>W przypadkach, o których mowa w ust. 2, sprawę wpisuje się w nowym spisie spraw, zaznaczając ten fakt w dotychczasowym spisie spraw w formie wzmianki: „</w:t>
      </w:r>
      <w:r>
        <w:rPr>
          <w:rFonts w:ascii="Palatino Linotype" w:hAnsi="Palatino Linotype" w:cs="Palatino Linotype"/>
          <w:i/>
          <w:sz w:val="24"/>
          <w:szCs w:val="24"/>
        </w:rPr>
        <w:t>przeniesiono do znaku sprawy…</w:t>
      </w:r>
      <w:r>
        <w:rPr>
          <w:rFonts w:ascii="Palatino Linotype" w:hAnsi="Palatino Linotype" w:cs="Palatino Linotype"/>
          <w:sz w:val="24"/>
          <w:szCs w:val="24"/>
        </w:rPr>
        <w:t>”, i przenosi się akta sprawy do nowej teczki aktowej, nie dokonując zmian w znaku sprawy przyporządkowanym wcześniej aktom sprawy.</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29.</w:t>
      </w:r>
    </w:p>
    <w:p w:rsidR="00D22C8D" w:rsidRDefault="00D22C8D">
      <w:pPr>
        <w:spacing w:after="120"/>
        <w:jc w:val="both"/>
        <w:rPr>
          <w:rFonts w:ascii="Palatino Linotype" w:hAnsi="Palatino Linotype" w:cs="Palatino Linotype"/>
          <w:sz w:val="24"/>
          <w:szCs w:val="24"/>
        </w:rPr>
      </w:pPr>
      <w:r>
        <w:rPr>
          <w:rFonts w:ascii="Palatino Linotype" w:hAnsi="Palatino Linotype" w:cs="Palatino Linotype"/>
          <w:sz w:val="24"/>
          <w:szCs w:val="24"/>
        </w:rPr>
        <w:t>Jeżeli sprawa została załatwiona ustnie, a nie wynika to z treści przesyłki lub treści dekretacji, prowadzący sprawę:</w:t>
      </w:r>
    </w:p>
    <w:p w:rsidR="00D22C8D" w:rsidRDefault="00D22C8D">
      <w:pPr>
        <w:numPr>
          <w:ilvl w:val="0"/>
          <w:numId w:val="55"/>
        </w:numPr>
        <w:ind w:left="284" w:hanging="284"/>
        <w:jc w:val="both"/>
        <w:rPr>
          <w:rFonts w:ascii="Palatino Linotype" w:hAnsi="Palatino Linotype" w:cs="Palatino Linotype"/>
          <w:sz w:val="24"/>
          <w:szCs w:val="24"/>
        </w:rPr>
      </w:pPr>
      <w:r>
        <w:rPr>
          <w:rFonts w:ascii="Palatino Linotype" w:hAnsi="Palatino Linotype" w:cs="Palatino Linotype"/>
          <w:sz w:val="24"/>
          <w:szCs w:val="24"/>
        </w:rPr>
        <w:t>sporządza notatkę opisującą sposób załatwienia sprawy;</w:t>
      </w:r>
    </w:p>
    <w:p w:rsidR="00D22C8D" w:rsidRDefault="00D22C8D">
      <w:pPr>
        <w:numPr>
          <w:ilvl w:val="0"/>
          <w:numId w:val="55"/>
        </w:numPr>
        <w:ind w:left="284" w:hanging="284"/>
        <w:jc w:val="both"/>
        <w:rPr>
          <w:rFonts w:ascii="Palatino Linotype" w:hAnsi="Palatino Linotype" w:cs="Palatino Linotype"/>
          <w:sz w:val="24"/>
          <w:szCs w:val="24"/>
        </w:rPr>
      </w:pPr>
      <w:r>
        <w:rPr>
          <w:rFonts w:ascii="Palatino Linotype" w:hAnsi="Palatino Linotype" w:cs="Palatino Linotype"/>
          <w:sz w:val="24"/>
          <w:szCs w:val="24"/>
        </w:rPr>
        <w:t>umieszcza przesyłkę wraz z notatką w aktach sprawy;</w:t>
      </w:r>
    </w:p>
    <w:p w:rsidR="00D22C8D" w:rsidRDefault="00D22C8D">
      <w:pPr>
        <w:numPr>
          <w:ilvl w:val="0"/>
          <w:numId w:val="55"/>
        </w:numPr>
        <w:ind w:left="284" w:hanging="284"/>
        <w:jc w:val="both"/>
        <w:rPr>
          <w:sz w:val="24"/>
          <w:szCs w:val="24"/>
        </w:rPr>
      </w:pPr>
      <w:r>
        <w:rPr>
          <w:rFonts w:ascii="Palatino Linotype" w:hAnsi="Palatino Linotype" w:cs="Palatino Linotype"/>
          <w:sz w:val="24"/>
          <w:szCs w:val="24"/>
        </w:rPr>
        <w:t>wpisuje do spisu spraw datę ostatecznego załatwienia sprawy.</w:t>
      </w:r>
    </w:p>
    <w:p w:rsidR="00D22C8D" w:rsidRDefault="00D22C8D">
      <w:pPr>
        <w:spacing w:before="120" w:after="120"/>
        <w:jc w:val="center"/>
        <w:rPr>
          <w:rFonts w:ascii="Palatino Linotype" w:hAnsi="Palatino Linotype" w:cs="Palatino Linotype"/>
          <w:szCs w:val="24"/>
        </w:rPr>
      </w:pPr>
      <w:r>
        <w:rPr>
          <w:sz w:val="24"/>
          <w:szCs w:val="24"/>
        </w:rPr>
        <w:t>§</w:t>
      </w:r>
      <w:r>
        <w:rPr>
          <w:rFonts w:ascii="Palatino Linotype" w:hAnsi="Palatino Linotype" w:cs="Palatino Linotype"/>
          <w:sz w:val="24"/>
          <w:szCs w:val="24"/>
        </w:rPr>
        <w:t xml:space="preserve"> 30.</w:t>
      </w:r>
    </w:p>
    <w:p w:rsidR="00D22C8D" w:rsidRDefault="00D22C8D">
      <w:pPr>
        <w:pStyle w:val="Tekstpodstawowy21"/>
        <w:spacing w:after="120"/>
        <w:rPr>
          <w:rFonts w:ascii="Palatino Linotype" w:hAnsi="Palatino Linotype" w:cs="Palatino Linotype"/>
          <w:szCs w:val="24"/>
        </w:rPr>
      </w:pPr>
      <w:r>
        <w:rPr>
          <w:rFonts w:ascii="Palatino Linotype" w:hAnsi="Palatino Linotype" w:cs="Palatino Linotype"/>
          <w:szCs w:val="24"/>
        </w:rPr>
        <w:t>W trakcie załatwiania sprawy dołącza się do akt sprawy w szczególności:</w:t>
      </w:r>
    </w:p>
    <w:p w:rsidR="00D22C8D" w:rsidRDefault="00D22C8D">
      <w:pPr>
        <w:numPr>
          <w:ilvl w:val="0"/>
          <w:numId w:val="37"/>
        </w:numPr>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zarejestrowane w rejestrach przesyłek wpływających i wychodzących;</w:t>
      </w:r>
    </w:p>
    <w:p w:rsidR="00D22C8D" w:rsidRDefault="00D22C8D">
      <w:pPr>
        <w:numPr>
          <w:ilvl w:val="0"/>
          <w:numId w:val="37"/>
        </w:numPr>
        <w:ind w:left="284" w:hanging="284"/>
        <w:jc w:val="both"/>
        <w:rPr>
          <w:rFonts w:ascii="Palatino Linotype" w:hAnsi="Palatino Linotype" w:cs="Palatino Linotype"/>
          <w:sz w:val="24"/>
          <w:szCs w:val="24"/>
        </w:rPr>
      </w:pPr>
      <w:r>
        <w:rPr>
          <w:rFonts w:ascii="Palatino Linotype" w:hAnsi="Palatino Linotype" w:cs="Palatino Linotype"/>
          <w:sz w:val="24"/>
          <w:szCs w:val="24"/>
        </w:rPr>
        <w:t>notatki służbowe z rozmów przeprowadzanych z interesantami lub czynności dokonanych poza siedzibą</w:t>
      </w:r>
      <w:r w:rsidR="006B2B93">
        <w:rPr>
          <w:rFonts w:ascii="Palatino Linotype" w:hAnsi="Palatino Linotype" w:cs="Palatino Linotype"/>
          <w:sz w:val="24"/>
          <w:szCs w:val="24"/>
        </w:rPr>
        <w:t xml:space="preserve"> MP37</w:t>
      </w:r>
      <w:r>
        <w:rPr>
          <w:rFonts w:ascii="Palatino Linotype" w:hAnsi="Palatino Linotype" w:cs="Palatino Linotype"/>
          <w:sz w:val="24"/>
          <w:szCs w:val="24"/>
        </w:rPr>
        <w:t>, jeżeli nie jest dla nich przewidziana forma protokołu;</w:t>
      </w:r>
    </w:p>
    <w:p w:rsidR="00D22C8D" w:rsidRDefault="00D22C8D">
      <w:pPr>
        <w:numPr>
          <w:ilvl w:val="0"/>
          <w:numId w:val="37"/>
        </w:numPr>
        <w:ind w:left="284" w:hanging="284"/>
        <w:jc w:val="both"/>
        <w:rPr>
          <w:rFonts w:ascii="Palatino Linotype" w:hAnsi="Palatino Linotype" w:cs="Palatino Linotype"/>
          <w:sz w:val="24"/>
          <w:szCs w:val="24"/>
        </w:rPr>
      </w:pPr>
      <w:r>
        <w:rPr>
          <w:rFonts w:ascii="Palatino Linotype" w:hAnsi="Palatino Linotype" w:cs="Palatino Linotype"/>
          <w:sz w:val="24"/>
          <w:szCs w:val="24"/>
        </w:rPr>
        <w:t>pisma przesłane za pomocą telefaksu;</w:t>
      </w:r>
    </w:p>
    <w:p w:rsidR="00D22C8D" w:rsidRDefault="00D22C8D">
      <w:pPr>
        <w:numPr>
          <w:ilvl w:val="0"/>
          <w:numId w:val="37"/>
        </w:numPr>
        <w:ind w:left="284" w:hanging="284"/>
        <w:jc w:val="both"/>
        <w:rPr>
          <w:rFonts w:ascii="Palatino Linotype" w:hAnsi="Palatino Linotype" w:cs="Palatino Linotype"/>
          <w:sz w:val="24"/>
          <w:szCs w:val="24"/>
        </w:rPr>
      </w:pPr>
      <w:r>
        <w:rPr>
          <w:rFonts w:ascii="Palatino Linotype" w:hAnsi="Palatino Linotype" w:cs="Palatino Linotype"/>
          <w:sz w:val="24"/>
          <w:szCs w:val="24"/>
        </w:rPr>
        <w:t>przesyłki, o których mowa w § 14 ust. 3 i 4;</w:t>
      </w:r>
    </w:p>
    <w:p w:rsidR="00D22C8D" w:rsidRDefault="00D22C8D">
      <w:pPr>
        <w:numPr>
          <w:ilvl w:val="0"/>
          <w:numId w:val="37"/>
        </w:numPr>
        <w:ind w:left="284" w:hanging="284"/>
        <w:jc w:val="both"/>
        <w:rPr>
          <w:rFonts w:ascii="Palatino Linotype" w:hAnsi="Palatino Linotype" w:cs="Palatino Linotype"/>
          <w:b/>
          <w:sz w:val="28"/>
          <w:szCs w:val="28"/>
        </w:rPr>
      </w:pPr>
      <w:r>
        <w:rPr>
          <w:rFonts w:ascii="Palatino Linotype" w:hAnsi="Palatino Linotype" w:cs="Palatino Linotype"/>
          <w:sz w:val="24"/>
          <w:szCs w:val="24"/>
        </w:rPr>
        <w:t>projekty pism odrzucone w toku akceptacji przez kierowników komórek organizacyjnych lub</w:t>
      </w:r>
      <w:r w:rsidR="006B2B93">
        <w:rPr>
          <w:rFonts w:ascii="Palatino Linotype" w:hAnsi="Palatino Linotype" w:cs="Palatino Linotype"/>
          <w:sz w:val="24"/>
          <w:szCs w:val="24"/>
        </w:rPr>
        <w:t xml:space="preserve"> Dyrektora MP37</w:t>
      </w:r>
      <w:r>
        <w:rPr>
          <w:rFonts w:ascii="Palatino Linotype" w:hAnsi="Palatino Linotype" w:cs="Palatino Linotype"/>
          <w:sz w:val="24"/>
          <w:szCs w:val="24"/>
        </w:rPr>
        <w:t xml:space="preserve"> oraz uwagi i adnotacje tych osób odnoszące się do projektów pism, jeżeli mają znaczenie w załatwianej sprawie.</w:t>
      </w:r>
    </w:p>
    <w:p w:rsidR="00D22C8D" w:rsidRDefault="00D22C8D">
      <w:pPr>
        <w:spacing w:before="120"/>
        <w:jc w:val="center"/>
        <w:rPr>
          <w:rFonts w:ascii="Palatino Linotype" w:hAnsi="Palatino Linotype" w:cs="Palatino Linotype"/>
          <w:b/>
          <w:sz w:val="26"/>
          <w:szCs w:val="26"/>
        </w:rPr>
      </w:pPr>
      <w:r>
        <w:rPr>
          <w:rFonts w:ascii="Palatino Linotype" w:hAnsi="Palatino Linotype" w:cs="Palatino Linotype"/>
          <w:b/>
          <w:sz w:val="28"/>
          <w:szCs w:val="28"/>
        </w:rPr>
        <w:t>Rozdział 6</w:t>
      </w:r>
    </w:p>
    <w:p w:rsidR="00D22C8D" w:rsidRDefault="00D22C8D">
      <w:pPr>
        <w:jc w:val="center"/>
        <w:rPr>
          <w:sz w:val="24"/>
          <w:szCs w:val="24"/>
        </w:rPr>
      </w:pPr>
      <w:r>
        <w:rPr>
          <w:rFonts w:ascii="Palatino Linotype" w:hAnsi="Palatino Linotype" w:cs="Palatino Linotype"/>
          <w:b/>
          <w:sz w:val="26"/>
          <w:szCs w:val="26"/>
        </w:rPr>
        <w:t>Akceptacja, podpisywanie i wysyłanie pism</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31.</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Akceptacja może być jednostopniowa lub wielostopniowa.</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lastRenderedPageBreak/>
        <w:t>Akceptacja wielostopniowa polega na wstępnym zaakceptowaniu pisma przez kolejne nieupoważnione do podpisania pisma osoby, aż do ostatecznego zaakceptowania pisma przez osobę upoważnioną do jego podpisania.</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Przekazanie projektów pism do akceptacji może nastąpić:</w:t>
      </w:r>
    </w:p>
    <w:p w:rsidR="00D22C8D" w:rsidRDefault="00D22C8D">
      <w:pPr>
        <w:numPr>
          <w:ilvl w:val="0"/>
          <w:numId w:val="60"/>
        </w:numPr>
        <w:ind w:left="568" w:hanging="284"/>
        <w:jc w:val="both"/>
        <w:rPr>
          <w:rFonts w:ascii="Palatino Linotype" w:hAnsi="Palatino Linotype" w:cs="Palatino Linotype"/>
          <w:sz w:val="24"/>
          <w:szCs w:val="24"/>
        </w:rPr>
      </w:pPr>
      <w:r>
        <w:rPr>
          <w:rFonts w:ascii="Palatino Linotype" w:hAnsi="Palatino Linotype" w:cs="Palatino Linotype"/>
          <w:sz w:val="24"/>
          <w:szCs w:val="24"/>
        </w:rPr>
        <w:t>w postaci papierowej albo</w:t>
      </w:r>
    </w:p>
    <w:p w:rsidR="00D22C8D" w:rsidRDefault="00D22C8D">
      <w:pPr>
        <w:numPr>
          <w:ilvl w:val="0"/>
          <w:numId w:val="60"/>
        </w:numPr>
        <w:ind w:left="568" w:hanging="284"/>
        <w:jc w:val="both"/>
        <w:rPr>
          <w:rFonts w:ascii="Palatino Linotype" w:hAnsi="Palatino Linotype" w:cs="Palatino Linotype"/>
          <w:sz w:val="24"/>
          <w:szCs w:val="24"/>
        </w:rPr>
      </w:pPr>
      <w:r>
        <w:rPr>
          <w:rFonts w:ascii="Palatino Linotype" w:hAnsi="Palatino Linotype" w:cs="Palatino Linotype"/>
          <w:sz w:val="24"/>
          <w:szCs w:val="24"/>
        </w:rPr>
        <w:t>w postaci elektronicznej.</w:t>
      </w:r>
    </w:p>
    <w:p w:rsidR="00D22C8D" w:rsidRDefault="00D22C8D">
      <w:pPr>
        <w:numPr>
          <w:ilvl w:val="0"/>
          <w:numId w:val="6"/>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Wybór trybu przekazania projektów pism do akceptacji określa w zależności od stopnia akceptacji odpowiednio kierownik komórki organizacyjnej lub</w:t>
      </w:r>
      <w:r w:rsidR="006B2B93">
        <w:rPr>
          <w:rFonts w:ascii="Palatino Linotype" w:hAnsi="Palatino Linotype" w:cs="Palatino Linotype"/>
          <w:sz w:val="24"/>
          <w:szCs w:val="24"/>
        </w:rPr>
        <w:t xml:space="preserve"> Dyrektor MP37</w:t>
      </w:r>
      <w:r>
        <w:rPr>
          <w:rStyle w:val="FontStyle51"/>
          <w:rFonts w:ascii="Palatino Linotype" w:hAnsi="Palatino Linotype" w:cs="Calibri"/>
          <w:i/>
          <w:sz w:val="24"/>
          <w:szCs w:val="24"/>
        </w:rPr>
        <w:t>.</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o którym mowa w ust. 3 pkt 1, na drugim egzemplarzu projektu pisma pracownik przygotowujący projekt pisma umieszcza swój odręczny podpis (skrót podpisu) i datę jego złożenia.</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 xml:space="preserve">Jeżeli projekt pisma przedstawiony do akceptacji nie wymaga poprawek, akceptujący podpisuje pismo w dwóch egzemplarzach (jeden przeznaczony do wysyłki, a drugi do włączenia do akt sprawy, zwanym dalej „egzemplarzem pisma ad acta”), chyba że jest wymagana większa liczba egzemplarzy. </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Na egzemplarzu pisma ad acta zamieszcza się informację co do sposobu wysyłki (na przykład list polecony, list priorytetowy, doręczenie elektroniczne) oraz w razie potrzeby potwierdzenie dokonania wysłania przesyłki lub jej osobistego doręczenia.</w:t>
      </w:r>
    </w:p>
    <w:p w:rsidR="00D22C8D" w:rsidRDefault="00D22C8D">
      <w:pPr>
        <w:numPr>
          <w:ilvl w:val="0"/>
          <w:numId w:val="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projekt pisma przedstawiony do akceptacji wymaga poprawek, akceptujący udziela wskazówek dotyczących niezbędnych poprawek:</w:t>
      </w:r>
    </w:p>
    <w:p w:rsidR="00D22C8D" w:rsidRDefault="00D22C8D">
      <w:pPr>
        <w:numPr>
          <w:ilvl w:val="0"/>
          <w:numId w:val="16"/>
        </w:numPr>
        <w:ind w:left="567" w:hanging="283"/>
        <w:jc w:val="both"/>
        <w:rPr>
          <w:rFonts w:ascii="Palatino Linotype" w:hAnsi="Palatino Linotype" w:cs="Palatino Linotype"/>
          <w:sz w:val="24"/>
          <w:szCs w:val="24"/>
        </w:rPr>
      </w:pPr>
      <w:r>
        <w:rPr>
          <w:rFonts w:ascii="Palatino Linotype" w:hAnsi="Palatino Linotype" w:cs="Palatino Linotype"/>
          <w:sz w:val="24"/>
          <w:szCs w:val="24"/>
        </w:rPr>
        <w:t>nanosząc odpowiednie adnotacje i poprawki bezpośrednio na projekcie pisma;</w:t>
      </w:r>
    </w:p>
    <w:p w:rsidR="00D22C8D" w:rsidRDefault="00D22C8D">
      <w:pPr>
        <w:numPr>
          <w:ilvl w:val="0"/>
          <w:numId w:val="16"/>
        </w:numPr>
        <w:ind w:left="567" w:hanging="283"/>
        <w:jc w:val="both"/>
        <w:rPr>
          <w:rFonts w:ascii="Palatino Linotype" w:hAnsi="Palatino Linotype" w:cs="Palatino Linotype"/>
          <w:sz w:val="24"/>
          <w:szCs w:val="24"/>
        </w:rPr>
      </w:pPr>
      <w:r>
        <w:rPr>
          <w:rFonts w:ascii="Palatino Linotype" w:hAnsi="Palatino Linotype" w:cs="Palatino Linotype"/>
          <w:sz w:val="24"/>
          <w:szCs w:val="24"/>
        </w:rPr>
        <w:t>ustnie.</w:t>
      </w:r>
    </w:p>
    <w:p w:rsidR="00D22C8D" w:rsidRDefault="00D22C8D">
      <w:pPr>
        <w:numPr>
          <w:ilvl w:val="0"/>
          <w:numId w:val="6"/>
        </w:numPr>
        <w:spacing w:before="120" w:after="120"/>
        <w:ind w:left="284" w:hanging="284"/>
        <w:jc w:val="both"/>
        <w:rPr>
          <w:sz w:val="24"/>
          <w:szCs w:val="24"/>
        </w:rPr>
      </w:pPr>
      <w:r>
        <w:rPr>
          <w:rFonts w:ascii="Palatino Linotype" w:hAnsi="Palatino Linotype" w:cs="Palatino Linotype"/>
          <w:sz w:val="24"/>
          <w:szCs w:val="24"/>
        </w:rPr>
        <w:t>W przypadku gdy projekt pisma jest przedstawiony do akceptacji w postaci elektronicznej, akceptujący lub inna osoba na jego polecenie może dokonać bezpośrednio niezbędnych poprawek i sporządzić dwa egzemplarze pisma, o których mowa w ust. 6.</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32.</w:t>
      </w:r>
    </w:p>
    <w:p w:rsidR="00D22C8D" w:rsidRDefault="00D22C8D">
      <w:pPr>
        <w:numPr>
          <w:ilvl w:val="0"/>
          <w:numId w:val="5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Projekty pism przeznaczone do wysyłki za pomocą środków komunikacji elektronicznej przedstawia się do podpisu wyłącznie w postaci elektronicznej.</w:t>
      </w:r>
    </w:p>
    <w:p w:rsidR="00D22C8D" w:rsidRDefault="00D22C8D">
      <w:pPr>
        <w:numPr>
          <w:ilvl w:val="0"/>
          <w:numId w:val="58"/>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pisma przeznaczonego do wysyłki w postaci elektronicznej podpisujący:</w:t>
      </w:r>
    </w:p>
    <w:p w:rsidR="00D22C8D" w:rsidRDefault="00D22C8D">
      <w:pPr>
        <w:numPr>
          <w:ilvl w:val="0"/>
          <w:numId w:val="68"/>
        </w:numPr>
        <w:ind w:left="568" w:hanging="284"/>
        <w:jc w:val="both"/>
        <w:rPr>
          <w:rFonts w:ascii="Palatino Linotype" w:hAnsi="Palatino Linotype" w:cs="Palatino Linotype"/>
          <w:sz w:val="24"/>
          <w:szCs w:val="24"/>
        </w:rPr>
      </w:pPr>
      <w:r>
        <w:rPr>
          <w:rFonts w:ascii="Palatino Linotype" w:hAnsi="Palatino Linotype" w:cs="Palatino Linotype"/>
          <w:sz w:val="24"/>
          <w:szCs w:val="24"/>
        </w:rPr>
        <w:t>podpisuje elektronicznie pismo w postaci elektronicznej;</w:t>
      </w:r>
    </w:p>
    <w:p w:rsidR="00D22C8D" w:rsidRDefault="00D22C8D">
      <w:pPr>
        <w:numPr>
          <w:ilvl w:val="0"/>
          <w:numId w:val="68"/>
        </w:numPr>
        <w:ind w:left="568" w:hanging="284"/>
        <w:jc w:val="both"/>
        <w:rPr>
          <w:sz w:val="24"/>
          <w:szCs w:val="24"/>
        </w:rPr>
      </w:pPr>
      <w:r>
        <w:rPr>
          <w:rFonts w:ascii="Palatino Linotype" w:hAnsi="Palatino Linotype" w:cs="Palatino Linotype"/>
          <w:sz w:val="24"/>
          <w:szCs w:val="24"/>
        </w:rPr>
        <w:t>podpisuje odręcznie wydrukowaną treść pisma w postaci elektronicznej (egzemplarz pisma ad acta).</w:t>
      </w:r>
    </w:p>
    <w:p w:rsidR="006B2B93" w:rsidRDefault="006B2B93">
      <w:pPr>
        <w:spacing w:before="120" w:after="120"/>
        <w:jc w:val="center"/>
        <w:rPr>
          <w:sz w:val="24"/>
          <w:szCs w:val="24"/>
        </w:rPr>
      </w:pPr>
    </w:p>
    <w:p w:rsidR="00D22C8D" w:rsidRDefault="00D22C8D">
      <w:pPr>
        <w:spacing w:before="120" w:after="120"/>
        <w:jc w:val="center"/>
        <w:rPr>
          <w:rFonts w:ascii="Palatino Linotype" w:hAnsi="Palatino Linotype" w:cs="Palatino Linotype"/>
          <w:sz w:val="24"/>
          <w:szCs w:val="24"/>
        </w:rPr>
      </w:pPr>
      <w:r>
        <w:rPr>
          <w:sz w:val="24"/>
          <w:szCs w:val="24"/>
        </w:rPr>
        <w:lastRenderedPageBreak/>
        <w:t>§</w:t>
      </w:r>
      <w:r>
        <w:rPr>
          <w:rFonts w:ascii="Palatino Linotype" w:hAnsi="Palatino Linotype" w:cs="Palatino Linotype"/>
          <w:sz w:val="24"/>
          <w:szCs w:val="24"/>
        </w:rPr>
        <w:t xml:space="preserve"> 33.</w:t>
      </w:r>
    </w:p>
    <w:p w:rsidR="00D22C8D" w:rsidRDefault="00D22C8D">
      <w:pPr>
        <w:numPr>
          <w:ilvl w:val="0"/>
          <w:numId w:val="6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Pisma na nośniku papierowym są wysyłane przez punkt kancelaryjny.</w:t>
      </w:r>
    </w:p>
    <w:p w:rsidR="00D22C8D" w:rsidRDefault="00D22C8D">
      <w:pPr>
        <w:numPr>
          <w:ilvl w:val="0"/>
          <w:numId w:val="6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Pisma przeznaczone do wysyłki w postaci elektronicznej mogą być wysyłane automatycznie, po ich podpisaniu podpisem elektronicznym.</w:t>
      </w:r>
    </w:p>
    <w:p w:rsidR="00D22C8D" w:rsidRDefault="00D22C8D">
      <w:pPr>
        <w:numPr>
          <w:ilvl w:val="0"/>
          <w:numId w:val="6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Jeżeli pismo nie zostało wysłane w sposób, o którym mowa w ust. 2, obsługą wysyłki pism elektronicznych zajmuje się punkt kancelaryjny.</w:t>
      </w:r>
    </w:p>
    <w:p w:rsidR="00D22C8D" w:rsidRDefault="00D22C8D">
      <w:pPr>
        <w:numPr>
          <w:ilvl w:val="0"/>
          <w:numId w:val="64"/>
        </w:numPr>
        <w:spacing w:after="120"/>
        <w:ind w:left="284" w:hanging="284"/>
        <w:jc w:val="both"/>
        <w:rPr>
          <w:sz w:val="24"/>
          <w:szCs w:val="24"/>
        </w:rPr>
      </w:pPr>
      <w:r>
        <w:rPr>
          <w:rFonts w:ascii="Palatino Linotype" w:hAnsi="Palatino Linotype" w:cs="Palatino Linotype"/>
          <w:sz w:val="24"/>
          <w:szCs w:val="24"/>
        </w:rPr>
        <w:t>Prowadzący sprawę włącza do akt sprawy podpisany egzemplarz pisma wychodzącego przeznaczony ad acta.</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34.</w:t>
      </w:r>
    </w:p>
    <w:p w:rsidR="00D22C8D" w:rsidRDefault="00D22C8D">
      <w:pPr>
        <w:numPr>
          <w:ilvl w:val="0"/>
          <w:numId w:val="54"/>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Prowadzi się rejestr przesyłek wychodzących na nośniku papierowym lub w postaci elektronicznej, zawierający w szczególności następujące informacje:</w:t>
      </w:r>
    </w:p>
    <w:p w:rsidR="00D22C8D" w:rsidRDefault="00D22C8D">
      <w:pPr>
        <w:numPr>
          <w:ilvl w:val="0"/>
          <w:numId w:val="43"/>
        </w:numPr>
        <w:ind w:left="568" w:hanging="284"/>
        <w:jc w:val="both"/>
        <w:rPr>
          <w:rFonts w:ascii="Palatino Linotype" w:hAnsi="Palatino Linotype" w:cs="Palatino Linotype"/>
          <w:sz w:val="24"/>
          <w:szCs w:val="24"/>
        </w:rPr>
      </w:pPr>
      <w:r>
        <w:rPr>
          <w:rFonts w:ascii="Palatino Linotype" w:hAnsi="Palatino Linotype" w:cs="Palatino Linotype"/>
          <w:sz w:val="24"/>
          <w:szCs w:val="24"/>
        </w:rPr>
        <w:t>liczbę porządkową;</w:t>
      </w:r>
    </w:p>
    <w:p w:rsidR="00D22C8D" w:rsidRDefault="00D22C8D">
      <w:pPr>
        <w:numPr>
          <w:ilvl w:val="0"/>
          <w:numId w:val="43"/>
        </w:numPr>
        <w:ind w:left="568" w:hanging="284"/>
        <w:jc w:val="both"/>
        <w:rPr>
          <w:rFonts w:ascii="Palatino Linotype" w:hAnsi="Palatino Linotype" w:cs="Palatino Linotype"/>
          <w:sz w:val="24"/>
          <w:szCs w:val="24"/>
        </w:rPr>
      </w:pPr>
      <w:r>
        <w:rPr>
          <w:rFonts w:ascii="Palatino Linotype" w:hAnsi="Palatino Linotype" w:cs="Palatino Linotype"/>
          <w:sz w:val="24"/>
          <w:szCs w:val="24"/>
        </w:rPr>
        <w:t>datę przekazania wysyłki do adresatów lub operatorowi pocztowemu;</w:t>
      </w:r>
    </w:p>
    <w:p w:rsidR="00D22C8D" w:rsidRDefault="00D22C8D">
      <w:pPr>
        <w:numPr>
          <w:ilvl w:val="0"/>
          <w:numId w:val="43"/>
        </w:numPr>
        <w:ind w:left="568" w:hanging="284"/>
        <w:jc w:val="both"/>
        <w:rPr>
          <w:rFonts w:ascii="Palatino Linotype" w:hAnsi="Palatino Linotype" w:cs="Palatino Linotype"/>
          <w:sz w:val="24"/>
          <w:szCs w:val="24"/>
        </w:rPr>
      </w:pPr>
      <w:r>
        <w:rPr>
          <w:rFonts w:ascii="Palatino Linotype" w:hAnsi="Palatino Linotype" w:cs="Palatino Linotype"/>
          <w:sz w:val="24"/>
          <w:szCs w:val="24"/>
        </w:rPr>
        <w:t>nazwę adresata, do którego wysłano przesyłkę; w przypadku przesyłek kierowanych do wielu podmiotów dopuszcza się nadanie nazwy zbiorowej charakteryzującej łącznie adresatów;</w:t>
      </w:r>
    </w:p>
    <w:p w:rsidR="00D22C8D" w:rsidRDefault="00D22C8D">
      <w:pPr>
        <w:numPr>
          <w:ilvl w:val="0"/>
          <w:numId w:val="43"/>
        </w:numPr>
        <w:ind w:left="568" w:hanging="284"/>
        <w:jc w:val="both"/>
        <w:rPr>
          <w:rFonts w:ascii="Palatino Linotype" w:hAnsi="Palatino Linotype" w:cs="Palatino Linotype"/>
          <w:sz w:val="24"/>
          <w:szCs w:val="24"/>
        </w:rPr>
      </w:pPr>
      <w:r>
        <w:rPr>
          <w:rFonts w:ascii="Palatino Linotype" w:hAnsi="Palatino Linotype" w:cs="Palatino Linotype"/>
          <w:sz w:val="24"/>
          <w:szCs w:val="24"/>
        </w:rPr>
        <w:t>znak sprawy wysyłanego pisma lub inne oznaczenie;</w:t>
      </w:r>
    </w:p>
    <w:p w:rsidR="00D22C8D" w:rsidRDefault="00D22C8D">
      <w:pPr>
        <w:numPr>
          <w:ilvl w:val="0"/>
          <w:numId w:val="43"/>
        </w:numPr>
        <w:ind w:left="568" w:hanging="284"/>
        <w:jc w:val="both"/>
        <w:rPr>
          <w:rFonts w:ascii="Palatino Linotype" w:hAnsi="Palatino Linotype" w:cs="Palatino Linotype"/>
          <w:sz w:val="24"/>
          <w:szCs w:val="24"/>
        </w:rPr>
      </w:pPr>
      <w:r>
        <w:rPr>
          <w:rFonts w:ascii="Palatino Linotype" w:hAnsi="Palatino Linotype" w:cs="Palatino Linotype"/>
          <w:sz w:val="24"/>
          <w:szCs w:val="24"/>
        </w:rPr>
        <w:t>sposób przekazania przesyłki (na przykład list zwykły, polecony, za zwrotnym potwierdzeniem odbioru, faks, poczta elektroniczna, ESP).</w:t>
      </w:r>
    </w:p>
    <w:p w:rsidR="00D22C8D" w:rsidRDefault="00D22C8D">
      <w:pPr>
        <w:numPr>
          <w:ilvl w:val="0"/>
          <w:numId w:val="54"/>
        </w:numPr>
        <w:spacing w:before="120"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Rejestr przesyłek wychodzących prowadzony w postaci elektronicznej umożliwia:</w:t>
      </w:r>
    </w:p>
    <w:p w:rsidR="00D22C8D" w:rsidRDefault="00D22C8D">
      <w:pPr>
        <w:numPr>
          <w:ilvl w:val="0"/>
          <w:numId w:val="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sortowanie listy przesyłek wychodzących według informacji, o których mowa w ust. 1;</w:t>
      </w:r>
    </w:p>
    <w:p w:rsidR="00D22C8D" w:rsidRDefault="00D22C8D">
      <w:pPr>
        <w:numPr>
          <w:ilvl w:val="0"/>
          <w:numId w:val="3"/>
        </w:numPr>
        <w:ind w:left="709" w:hanging="425"/>
        <w:jc w:val="both"/>
        <w:rPr>
          <w:rFonts w:ascii="Palatino Linotype" w:hAnsi="Palatino Linotype" w:cs="Palatino Linotype"/>
          <w:sz w:val="24"/>
          <w:szCs w:val="24"/>
        </w:rPr>
      </w:pPr>
      <w:r>
        <w:rPr>
          <w:rFonts w:ascii="Palatino Linotype" w:hAnsi="Palatino Linotype" w:cs="Palatino Linotype"/>
          <w:sz w:val="24"/>
          <w:szCs w:val="24"/>
        </w:rPr>
        <w:t>wydrukowanie listy przesyłek wychodzących zawierającej wszystkie lub wybrane informacje, o których mowa w ust. 1, oraz, na każdej stronie datę wydruku;</w:t>
      </w:r>
    </w:p>
    <w:p w:rsidR="00D22C8D" w:rsidRDefault="00D22C8D">
      <w:pPr>
        <w:numPr>
          <w:ilvl w:val="0"/>
          <w:numId w:val="3"/>
        </w:numPr>
        <w:ind w:left="709" w:hanging="425"/>
        <w:jc w:val="both"/>
        <w:rPr>
          <w:rFonts w:ascii="Palatino Linotype" w:hAnsi="Palatino Linotype" w:cs="Palatino Linotype"/>
          <w:b/>
          <w:sz w:val="24"/>
          <w:szCs w:val="24"/>
        </w:rPr>
      </w:pPr>
      <w:r>
        <w:rPr>
          <w:rFonts w:ascii="Palatino Linotype" w:hAnsi="Palatino Linotype" w:cs="Palatino Linotype"/>
          <w:sz w:val="24"/>
          <w:szCs w:val="24"/>
        </w:rPr>
        <w:t>zapisanie całości lub części rejestru w formacie danych umożliwiającym późniejsze wyodrębnienie informacji, o których mowa w ust.1.</w:t>
      </w:r>
    </w:p>
    <w:p w:rsidR="00D22C8D" w:rsidRDefault="00D22C8D">
      <w:pPr>
        <w:spacing w:after="120"/>
        <w:ind w:left="709"/>
        <w:rPr>
          <w:rFonts w:ascii="Palatino Linotype" w:hAnsi="Palatino Linotype" w:cs="Palatino Linotype"/>
          <w:b/>
          <w:sz w:val="24"/>
          <w:szCs w:val="24"/>
        </w:rPr>
      </w:pPr>
    </w:p>
    <w:p w:rsidR="00D22C8D" w:rsidRDefault="00D22C8D">
      <w:pPr>
        <w:jc w:val="center"/>
        <w:rPr>
          <w:rFonts w:ascii="Palatino Linotype" w:hAnsi="Palatino Linotype" w:cs="Palatino Linotype"/>
          <w:b/>
          <w:sz w:val="26"/>
          <w:szCs w:val="26"/>
        </w:rPr>
      </w:pPr>
      <w:r>
        <w:rPr>
          <w:rFonts w:ascii="Palatino Linotype" w:hAnsi="Palatino Linotype" w:cs="Palatino Linotype"/>
          <w:b/>
          <w:sz w:val="28"/>
          <w:szCs w:val="28"/>
        </w:rPr>
        <w:t>Rozdział 7</w:t>
      </w:r>
    </w:p>
    <w:p w:rsidR="00D22C8D" w:rsidRDefault="00D22C8D">
      <w:pPr>
        <w:jc w:val="center"/>
        <w:rPr>
          <w:sz w:val="24"/>
          <w:szCs w:val="24"/>
        </w:rPr>
      </w:pPr>
      <w:r>
        <w:rPr>
          <w:rFonts w:ascii="Palatino Linotype" w:hAnsi="Palatino Linotype" w:cs="Palatino Linotype"/>
          <w:b/>
          <w:sz w:val="26"/>
          <w:szCs w:val="26"/>
        </w:rPr>
        <w:t>Przechowywanie i udostępnianie dokumentacji przez komórki organizacyjne</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35.</w:t>
      </w:r>
    </w:p>
    <w:p w:rsidR="00D22C8D" w:rsidRDefault="00D22C8D">
      <w:pPr>
        <w:numPr>
          <w:ilvl w:val="0"/>
          <w:numId w:val="81"/>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 xml:space="preserve">Dokumentacja przechowywana jest w komórkach organizacyjnych oraz w składnicy. </w:t>
      </w:r>
    </w:p>
    <w:p w:rsidR="00D22C8D" w:rsidRDefault="00D22C8D">
      <w:pPr>
        <w:numPr>
          <w:ilvl w:val="0"/>
          <w:numId w:val="81"/>
        </w:numPr>
        <w:spacing w:after="120"/>
        <w:ind w:left="284" w:hanging="284"/>
        <w:jc w:val="both"/>
        <w:rPr>
          <w:sz w:val="24"/>
          <w:szCs w:val="24"/>
        </w:rPr>
      </w:pPr>
      <w:r>
        <w:rPr>
          <w:rFonts w:ascii="Palatino Linotype" w:hAnsi="Palatino Linotype" w:cs="Palatino Linotype"/>
          <w:sz w:val="24"/>
          <w:szCs w:val="24"/>
        </w:rPr>
        <w:t>Dokumentacja powinna być zabezpieczona przed wglądem osób postronnych, uszkodzeniem, zniszczeniem i utratą.</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36.</w:t>
      </w:r>
    </w:p>
    <w:p w:rsidR="00D22C8D" w:rsidRDefault="00D22C8D">
      <w:pPr>
        <w:numPr>
          <w:ilvl w:val="0"/>
          <w:numId w:val="75"/>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lastRenderedPageBreak/>
        <w:t>Dokumentację należy przechowywać w teczkach aktowych.</w:t>
      </w:r>
    </w:p>
    <w:p w:rsidR="00D22C8D" w:rsidRDefault="00D22C8D">
      <w:pPr>
        <w:numPr>
          <w:ilvl w:val="0"/>
          <w:numId w:val="75"/>
        </w:numPr>
        <w:spacing w:after="120"/>
        <w:ind w:left="284" w:hanging="284"/>
        <w:jc w:val="both"/>
        <w:rPr>
          <w:rFonts w:ascii="Palatino Linotype" w:hAnsi="Palatino Linotype" w:cs="Palatino Linotype"/>
          <w:color w:val="000000"/>
          <w:sz w:val="24"/>
          <w:szCs w:val="24"/>
        </w:rPr>
      </w:pPr>
      <w:r>
        <w:rPr>
          <w:rFonts w:ascii="Palatino Linotype" w:hAnsi="Palatino Linotype" w:cs="Palatino Linotype"/>
          <w:sz w:val="24"/>
          <w:szCs w:val="24"/>
        </w:rPr>
        <w:t>Teczki aktowe założone w danym roku kalendarzowym układa się w kolejności symboli klasyfikacyjnych z wykazu akt.</w:t>
      </w:r>
    </w:p>
    <w:p w:rsidR="00D22C8D" w:rsidRDefault="00D22C8D">
      <w:pPr>
        <w:numPr>
          <w:ilvl w:val="0"/>
          <w:numId w:val="75"/>
        </w:numPr>
        <w:spacing w:after="120"/>
        <w:ind w:left="284" w:hanging="284"/>
        <w:jc w:val="both"/>
        <w:rPr>
          <w:sz w:val="24"/>
          <w:szCs w:val="24"/>
        </w:rPr>
      </w:pPr>
      <w:r>
        <w:rPr>
          <w:rFonts w:ascii="Palatino Linotype" w:hAnsi="Palatino Linotype" w:cs="Palatino Linotype"/>
          <w:color w:val="000000"/>
          <w:sz w:val="24"/>
          <w:szCs w:val="24"/>
        </w:rPr>
        <w:t>Wewnątrz teczki aktowej, o której mowa w § 26 ust. 2 i 4, akta spraw powinny być ułożone w kolejności spisu spraw począwszy od numeru 1 na górze teczki, a w obrębie spraw chronologicznie.</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37.</w:t>
      </w:r>
    </w:p>
    <w:p w:rsidR="00D22C8D" w:rsidRDefault="00D22C8D">
      <w:pPr>
        <w:numPr>
          <w:ilvl w:val="0"/>
          <w:numId w:val="46"/>
        </w:numPr>
        <w:spacing w:after="120"/>
        <w:ind w:left="284" w:hanging="284"/>
        <w:jc w:val="both"/>
        <w:rPr>
          <w:rFonts w:ascii="Palatino Linotype" w:hAnsi="Palatino Linotype" w:cs="Palatino Linotype"/>
          <w:sz w:val="24"/>
          <w:szCs w:val="24"/>
        </w:rPr>
      </w:pPr>
      <w:r>
        <w:rPr>
          <w:rFonts w:ascii="Palatino Linotype" w:hAnsi="Palatino Linotype" w:cs="Palatino Linotype"/>
          <w:sz w:val="24"/>
          <w:szCs w:val="24"/>
        </w:rPr>
        <w:t>Każda teczka zawierająca dokumentację spraw zakończonych powinna być opisana.</w:t>
      </w:r>
    </w:p>
    <w:p w:rsidR="00D22C8D" w:rsidRDefault="00D22C8D">
      <w:pPr>
        <w:numPr>
          <w:ilvl w:val="0"/>
          <w:numId w:val="46"/>
        </w:numPr>
        <w:spacing w:after="60"/>
        <w:ind w:left="284" w:hanging="284"/>
        <w:jc w:val="both"/>
        <w:rPr>
          <w:rFonts w:ascii="Palatino Linotype" w:hAnsi="Palatino Linotype" w:cs="Palatino Linotype"/>
          <w:sz w:val="24"/>
          <w:szCs w:val="24"/>
        </w:rPr>
      </w:pPr>
      <w:r>
        <w:rPr>
          <w:rFonts w:ascii="Palatino Linotype" w:hAnsi="Palatino Linotype" w:cs="Palatino Linotype"/>
          <w:sz w:val="24"/>
          <w:szCs w:val="24"/>
        </w:rPr>
        <w:t>Opis umieszczony na okładce teczki aktowej składa się z następujących elementów:</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pełnej nazwy jednostki organizacyjnej oraz pełnej nazwy komórki organizacyjnej, które wytworzyły dokumentację – na środku u góry;</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części znaku sprawy, to jest oznaczenia komórki organizacyjnej i symbolu klasyfikacyjnego z wykazu akt, a w przypadku, o którym mowa w § 23 ust. 5, dodatkowo numeru sprawy, który stał się podstawą wydzielenia grupy spraw – po lewej stronie pod nazwą komórki organizacyjnej;</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kategorii archiwalnej,  a w przypadku kategorii B – również okresu przechowywania dokumentacji – po prawej stronie  pod nazwą komórki organizacyjnej;</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tytułu teczki złożonego z pełnego hasła klasyfikacyjnego wykazu akt i informacji o rodzaju dokumentacji występującej w teczce – na środku;</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roku założenia teczki aktowej - pod tytułem;</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rocznych dat skrajnych, na które składają się rok najwcześniejszego i najpóźniejszego pisma w teczce aktowej – pod rokiem założenia teczki aktowej;</w:t>
      </w:r>
    </w:p>
    <w:p w:rsidR="00D22C8D" w:rsidRDefault="00D22C8D">
      <w:pPr>
        <w:numPr>
          <w:ilvl w:val="0"/>
          <w:numId w:val="4"/>
        </w:numPr>
        <w:ind w:left="567" w:hanging="283"/>
        <w:jc w:val="both"/>
        <w:rPr>
          <w:rFonts w:ascii="Palatino Linotype" w:hAnsi="Palatino Linotype" w:cs="Palatino Linotype"/>
          <w:sz w:val="24"/>
          <w:szCs w:val="24"/>
        </w:rPr>
      </w:pPr>
      <w:r>
        <w:rPr>
          <w:rFonts w:ascii="Palatino Linotype" w:hAnsi="Palatino Linotype" w:cs="Palatino Linotype"/>
          <w:sz w:val="24"/>
          <w:szCs w:val="24"/>
        </w:rPr>
        <w:t>numeru tomu, jeżeli akta spraw porządkowane do tego samego symbolu klasyfikacyjnego z wykazu akt w danym roku obejmują kilka teczek – pod rocznymi datami skrajnymi.</w:t>
      </w:r>
    </w:p>
    <w:p w:rsidR="00D22C8D" w:rsidRDefault="00D22C8D">
      <w:pPr>
        <w:numPr>
          <w:ilvl w:val="0"/>
          <w:numId w:val="46"/>
        </w:numPr>
        <w:ind w:left="284" w:hanging="284"/>
        <w:jc w:val="both"/>
        <w:rPr>
          <w:rFonts w:ascii="Palatino Linotype" w:hAnsi="Palatino Linotype" w:cs="Palatino Linotype"/>
          <w:sz w:val="24"/>
          <w:szCs w:val="24"/>
        </w:rPr>
      </w:pPr>
      <w:r>
        <w:rPr>
          <w:rFonts w:ascii="Palatino Linotype" w:hAnsi="Palatino Linotype" w:cs="Palatino Linotype"/>
          <w:sz w:val="24"/>
          <w:szCs w:val="24"/>
        </w:rPr>
        <w:t>W przypadku teczek aktowych, o których mowa w § 26:</w:t>
      </w:r>
    </w:p>
    <w:p w:rsidR="00D22C8D" w:rsidRDefault="00D22C8D">
      <w:pPr>
        <w:numPr>
          <w:ilvl w:val="0"/>
          <w:numId w:val="27"/>
        </w:numPr>
        <w:ind w:left="709" w:hanging="425"/>
        <w:jc w:val="both"/>
        <w:rPr>
          <w:rFonts w:ascii="Palatino Linotype" w:hAnsi="Palatino Linotype" w:cs="Palatino Linotype"/>
          <w:sz w:val="24"/>
          <w:szCs w:val="24"/>
        </w:rPr>
      </w:pPr>
      <w:r>
        <w:rPr>
          <w:rFonts w:ascii="Palatino Linotype" w:hAnsi="Palatino Linotype" w:cs="Palatino Linotype"/>
          <w:sz w:val="24"/>
          <w:szCs w:val="24"/>
        </w:rPr>
        <w:t>ust. 5 – tytuł teczki uzupełnia się o nazwę podmiotu lub przedmiotu wydzielonych spraw, a także wszystkie kolejne numery spraw, do których przyporządkowane zostały akta umieszczone w teczce;</w:t>
      </w:r>
    </w:p>
    <w:p w:rsidR="00D22C8D" w:rsidRDefault="00D22C8D">
      <w:pPr>
        <w:numPr>
          <w:ilvl w:val="0"/>
          <w:numId w:val="27"/>
        </w:numPr>
        <w:ind w:left="709" w:hanging="425"/>
        <w:jc w:val="both"/>
        <w:rPr>
          <w:rFonts w:ascii="Palatino Linotype" w:hAnsi="Palatino Linotype" w:cs="Palatino Linotype"/>
          <w:sz w:val="24"/>
          <w:szCs w:val="24"/>
        </w:rPr>
      </w:pPr>
      <w:r>
        <w:rPr>
          <w:rFonts w:ascii="Palatino Linotype" w:hAnsi="Palatino Linotype" w:cs="Palatino Linotype"/>
          <w:sz w:val="24"/>
          <w:szCs w:val="24"/>
        </w:rPr>
        <w:t>ust. 6  – tytuł teczki uzupełnia się o informacje identyfikujące teczkę zbiorczą (na przykład imię i nazwisko pracownika w przypadku akt osobowych);</w:t>
      </w:r>
    </w:p>
    <w:p w:rsidR="00D22C8D" w:rsidRDefault="00D22C8D">
      <w:pPr>
        <w:numPr>
          <w:ilvl w:val="0"/>
          <w:numId w:val="27"/>
        </w:numPr>
        <w:spacing w:after="120"/>
        <w:ind w:left="709" w:hanging="425"/>
        <w:jc w:val="both"/>
        <w:rPr>
          <w:sz w:val="24"/>
          <w:szCs w:val="24"/>
        </w:rPr>
      </w:pPr>
      <w:r>
        <w:rPr>
          <w:rFonts w:ascii="Palatino Linotype" w:hAnsi="Palatino Linotype" w:cs="Palatino Linotype"/>
          <w:sz w:val="24"/>
          <w:szCs w:val="24"/>
        </w:rPr>
        <w:t>ust. 7 – zamiast części znaku sprawy, o którym mowa w ust 2 pkt 2 zamieszcza się pełny znak sprawy i tytuł teczki uzupełnia się o tytuł sprawy.</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38.</w:t>
      </w:r>
    </w:p>
    <w:p w:rsidR="00D22C8D" w:rsidRDefault="00D22C8D">
      <w:pPr>
        <w:jc w:val="both"/>
        <w:rPr>
          <w:rFonts w:ascii="Palatino Linotype" w:hAnsi="Palatino Linotype" w:cs="Palatino Linotype"/>
          <w:b/>
          <w:sz w:val="28"/>
          <w:szCs w:val="28"/>
        </w:rPr>
      </w:pPr>
      <w:r>
        <w:rPr>
          <w:rFonts w:ascii="Palatino Linotype" w:hAnsi="Palatino Linotype" w:cs="Palatino Linotype"/>
          <w:sz w:val="24"/>
          <w:szCs w:val="24"/>
        </w:rPr>
        <w:t xml:space="preserve">W przypadku wyjęcia akt sprawy z teczki aktowej należy w ich miejsce włożyć kartę zastępczą. Powinna ona zawierać: znak sprawy, jej przedmiot, nazwę komórki organizacyjnej lub nazwisko pracownika wypożyczającego akta, lub nazwę i adres </w:t>
      </w:r>
      <w:r>
        <w:rPr>
          <w:rFonts w:ascii="Palatino Linotype" w:hAnsi="Palatino Linotype" w:cs="Palatino Linotype"/>
          <w:sz w:val="24"/>
          <w:szCs w:val="24"/>
        </w:rPr>
        <w:lastRenderedPageBreak/>
        <w:t>jednostki organizacyjnej do której akta sprawy wysłano, oraz termin zwrotu. Dopuszcza się wykonanie kopii wyjmowanych akt sprawy.</w:t>
      </w:r>
    </w:p>
    <w:p w:rsidR="00D22C8D" w:rsidRDefault="00D22C8D">
      <w:pPr>
        <w:jc w:val="center"/>
        <w:rPr>
          <w:rFonts w:ascii="Palatino Linotype" w:hAnsi="Palatino Linotype" w:cs="Palatino Linotype"/>
          <w:b/>
          <w:sz w:val="28"/>
          <w:szCs w:val="28"/>
        </w:rPr>
      </w:pPr>
    </w:p>
    <w:p w:rsidR="00D22C8D" w:rsidRDefault="00D22C8D">
      <w:pPr>
        <w:jc w:val="center"/>
        <w:rPr>
          <w:rFonts w:ascii="Palatino Linotype" w:hAnsi="Palatino Linotype" w:cs="Palatino Linotype"/>
          <w:b/>
          <w:sz w:val="26"/>
          <w:szCs w:val="26"/>
        </w:rPr>
      </w:pPr>
      <w:r>
        <w:rPr>
          <w:rFonts w:ascii="Palatino Linotype" w:hAnsi="Palatino Linotype" w:cs="Palatino Linotype"/>
          <w:b/>
          <w:sz w:val="28"/>
          <w:szCs w:val="28"/>
        </w:rPr>
        <w:t>Rozdział 8</w:t>
      </w:r>
    </w:p>
    <w:p w:rsidR="00D22C8D" w:rsidRDefault="00D22C8D">
      <w:pPr>
        <w:jc w:val="center"/>
        <w:rPr>
          <w:sz w:val="24"/>
          <w:szCs w:val="24"/>
        </w:rPr>
      </w:pPr>
      <w:r>
        <w:rPr>
          <w:rFonts w:ascii="Palatino Linotype" w:hAnsi="Palatino Linotype" w:cs="Palatino Linotype"/>
          <w:b/>
          <w:sz w:val="26"/>
          <w:szCs w:val="26"/>
        </w:rPr>
        <w:t xml:space="preserve">Przekazywanie dokumentacji do składnicy akt </w:t>
      </w:r>
    </w:p>
    <w:p w:rsidR="00D22C8D" w:rsidRDefault="00D22C8D">
      <w:pPr>
        <w:spacing w:before="120" w:after="120"/>
        <w:jc w:val="center"/>
        <w:rPr>
          <w:rFonts w:ascii="Palatino Linotype" w:hAnsi="Palatino Linotype" w:cs="TimesNewRoman"/>
          <w:sz w:val="24"/>
          <w:szCs w:val="24"/>
        </w:rPr>
      </w:pPr>
      <w:r>
        <w:rPr>
          <w:sz w:val="24"/>
          <w:szCs w:val="24"/>
        </w:rPr>
        <w:t>§</w:t>
      </w:r>
      <w:r>
        <w:rPr>
          <w:rFonts w:ascii="Palatino Linotype" w:hAnsi="Palatino Linotype" w:cs="Palatino Linotype"/>
          <w:sz w:val="24"/>
          <w:szCs w:val="24"/>
        </w:rPr>
        <w:t xml:space="preserve"> 39.</w:t>
      </w:r>
    </w:p>
    <w:p w:rsidR="00D22C8D" w:rsidRDefault="00D22C8D">
      <w:pPr>
        <w:numPr>
          <w:ilvl w:val="0"/>
          <w:numId w:val="22"/>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TimesNewRoman"/>
          <w:sz w:val="24"/>
          <w:szCs w:val="24"/>
        </w:rPr>
        <w:t>Komórki organizacyjne przekazują do składnicy akt dokumentację pełnymi rocznikami i kompletną,</w:t>
      </w:r>
      <w:r>
        <w:rPr>
          <w:rFonts w:ascii="Palatino Linotype" w:hAnsi="Palatino Linotype" w:cs="Palatino Linotype"/>
          <w:sz w:val="24"/>
          <w:szCs w:val="24"/>
        </w:rPr>
        <w:t xml:space="preserve"> nie później niż po upływie pełnych dwóch lat kalendarzowych, licząc od pierwszego stycznia roku następującego po roku zakończenia spraw.</w:t>
      </w:r>
    </w:p>
    <w:p w:rsidR="00D22C8D" w:rsidRDefault="00D22C8D">
      <w:pPr>
        <w:numPr>
          <w:ilvl w:val="0"/>
          <w:numId w:val="22"/>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TimesNewRoman"/>
          <w:sz w:val="24"/>
          <w:szCs w:val="24"/>
        </w:rPr>
        <w:t>Dokumentację spraw zakończonych niezbędną do bieżącej pracy można pozostawić w komórce organizacyjnej, ale wyłącznie na zasadzie jej wypożyczenia z składnicy akt, tj. po dokonaniu formalności przekazania (uporządkowaniu dokumentacji, sporządzeniu spisów zdawczo-odbiorczych, wypełnieniu kart udostępniania akt).</w:t>
      </w:r>
    </w:p>
    <w:p w:rsidR="00D22C8D" w:rsidRDefault="00D22C8D">
      <w:pPr>
        <w:numPr>
          <w:ilvl w:val="0"/>
          <w:numId w:val="22"/>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TimesNewRoman"/>
          <w:sz w:val="24"/>
          <w:szCs w:val="24"/>
        </w:rPr>
        <w:t>Archiwista ustala – w porozumieniu z kierownikami komórek organizacyjnych – corocznie terminarz przygotowania i przekazywania dokumentacji do składnicy akt.</w:t>
      </w:r>
    </w:p>
    <w:p w:rsidR="00D22C8D" w:rsidRDefault="00D22C8D">
      <w:pPr>
        <w:numPr>
          <w:ilvl w:val="0"/>
          <w:numId w:val="22"/>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TimesNewRoman"/>
          <w:sz w:val="24"/>
          <w:szCs w:val="24"/>
        </w:rPr>
        <w:t>Archiwista może odmówić przejęcia dokumentacji, jeżeli:</w:t>
      </w:r>
    </w:p>
    <w:p w:rsidR="00D22C8D" w:rsidRDefault="00D22C8D">
      <w:pPr>
        <w:numPr>
          <w:ilvl w:val="0"/>
          <w:numId w:val="24"/>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dokumentacja nie została uporządkowana w sposób uregulowany przepisami instrukcji,</w:t>
      </w:r>
    </w:p>
    <w:p w:rsidR="00D22C8D" w:rsidRDefault="00D22C8D">
      <w:pPr>
        <w:numPr>
          <w:ilvl w:val="0"/>
          <w:numId w:val="24"/>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spisy zdawczo-odbiorcze zawierają błędy lub niedokładności,</w:t>
      </w:r>
    </w:p>
    <w:p w:rsidR="00D22C8D" w:rsidRDefault="00D22C8D">
      <w:pPr>
        <w:numPr>
          <w:ilvl w:val="0"/>
          <w:numId w:val="24"/>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przekazywana dokumentacja nie odpowiada spisom zdawczo-odbiorczym.</w:t>
      </w:r>
    </w:p>
    <w:p w:rsidR="00D22C8D" w:rsidRDefault="00D22C8D">
      <w:pPr>
        <w:tabs>
          <w:tab w:val="left" w:pos="426"/>
        </w:tabs>
        <w:autoSpaceDE w:val="0"/>
        <w:ind w:left="426"/>
        <w:jc w:val="both"/>
        <w:rPr>
          <w:rFonts w:ascii="Palatino Linotype" w:hAnsi="Palatino Linotype" w:cs="TimesNewRoman"/>
          <w:sz w:val="24"/>
          <w:szCs w:val="24"/>
        </w:rPr>
      </w:pPr>
    </w:p>
    <w:p w:rsidR="00D22C8D" w:rsidRDefault="00D22C8D">
      <w:pPr>
        <w:numPr>
          <w:ilvl w:val="0"/>
          <w:numId w:val="22"/>
        </w:numPr>
        <w:tabs>
          <w:tab w:val="left" w:pos="426"/>
        </w:tabs>
        <w:autoSpaceDE w:val="0"/>
        <w:spacing w:after="120"/>
        <w:ind w:left="426" w:hanging="426"/>
        <w:jc w:val="both"/>
        <w:rPr>
          <w:sz w:val="24"/>
          <w:szCs w:val="24"/>
        </w:rPr>
      </w:pPr>
      <w:r>
        <w:rPr>
          <w:rFonts w:ascii="Palatino Linotype" w:hAnsi="Palatino Linotype" w:cs="TimesNewRoman"/>
          <w:sz w:val="24"/>
          <w:szCs w:val="24"/>
        </w:rPr>
        <w:t>O powodach odmowy przejęcia dokumentacji archiwista powiadamia swojego bezpośredniego przełożonego.</w:t>
      </w:r>
    </w:p>
    <w:p w:rsidR="00D22C8D" w:rsidRDefault="00D22C8D">
      <w:pPr>
        <w:spacing w:before="120" w:after="120"/>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40.</w:t>
      </w:r>
    </w:p>
    <w:p w:rsidR="00D22C8D" w:rsidRDefault="00D22C8D">
      <w:pPr>
        <w:numPr>
          <w:ilvl w:val="0"/>
          <w:numId w:val="78"/>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Palatino Linotype"/>
          <w:sz w:val="24"/>
          <w:szCs w:val="24"/>
        </w:rPr>
        <w:t>Dokumentacja spraw zakończonych przekazywana do składnicy akt powinna być uporządkowana przez prowadzących sprawy lub wyznaczonego w danej komórce organizacyjnej pracownika.</w:t>
      </w:r>
    </w:p>
    <w:p w:rsidR="00D22C8D" w:rsidRDefault="00D22C8D">
      <w:pPr>
        <w:numPr>
          <w:ilvl w:val="0"/>
          <w:numId w:val="78"/>
        </w:numPr>
        <w:tabs>
          <w:tab w:val="left" w:pos="426"/>
        </w:tabs>
        <w:autoSpaceDE w:val="0"/>
        <w:spacing w:after="120"/>
        <w:ind w:left="426" w:hanging="426"/>
        <w:jc w:val="both"/>
        <w:rPr>
          <w:rFonts w:ascii="Palatino Linotype" w:hAnsi="Palatino Linotype" w:cs="TimesNewRoman"/>
          <w:sz w:val="24"/>
          <w:szCs w:val="24"/>
        </w:rPr>
      </w:pPr>
      <w:r>
        <w:rPr>
          <w:rFonts w:ascii="Palatino Linotype" w:hAnsi="Palatino Linotype" w:cs="TimesNewRoman"/>
          <w:sz w:val="24"/>
          <w:szCs w:val="24"/>
        </w:rPr>
        <w:t>Przez uporządkowanie materiałów archiwalnych (dokumentacji kat. A) i dokumentacji o kategorii archiwalnej wyższej niż B10, rozumie się:</w:t>
      </w:r>
    </w:p>
    <w:p w:rsidR="00D22C8D" w:rsidRDefault="00D22C8D">
      <w:pPr>
        <w:numPr>
          <w:ilvl w:val="0"/>
          <w:numId w:val="20"/>
        </w:numPr>
        <w:tabs>
          <w:tab w:val="left" w:pos="426"/>
          <w:tab w:val="left" w:pos="709"/>
        </w:tabs>
        <w:autoSpaceDE w:val="0"/>
        <w:spacing w:after="120"/>
        <w:ind w:left="709" w:hanging="283"/>
        <w:jc w:val="both"/>
        <w:rPr>
          <w:rFonts w:ascii="Palatino Linotype" w:hAnsi="Palatino Linotype" w:cs="TimesNewRoman"/>
          <w:sz w:val="24"/>
          <w:szCs w:val="24"/>
        </w:rPr>
      </w:pPr>
      <w:r>
        <w:rPr>
          <w:rFonts w:ascii="Palatino Linotype" w:hAnsi="Palatino Linotype" w:cs="TimesNewRoman"/>
          <w:sz w:val="24"/>
          <w:szCs w:val="24"/>
        </w:rPr>
        <w:t>ułożenie dokumentacji wewnątrz teczek w porządku przewidzianym w § 36 ust. 3, przy czym poszczególne sprawy można rozdzielić papierowymi okładkami;</w:t>
      </w:r>
    </w:p>
    <w:p w:rsidR="00D22C8D" w:rsidRDefault="00D22C8D">
      <w:pPr>
        <w:numPr>
          <w:ilvl w:val="0"/>
          <w:numId w:val="20"/>
        </w:numPr>
        <w:tabs>
          <w:tab w:val="left" w:pos="426"/>
          <w:tab w:val="left" w:pos="709"/>
        </w:tabs>
        <w:autoSpaceDE w:val="0"/>
        <w:ind w:left="709" w:hanging="283"/>
        <w:jc w:val="both"/>
        <w:rPr>
          <w:rFonts w:ascii="Palatino Linotype" w:hAnsi="Palatino Linotype" w:cs="Palatino Linotype"/>
          <w:sz w:val="24"/>
          <w:szCs w:val="24"/>
        </w:rPr>
      </w:pPr>
      <w:r>
        <w:rPr>
          <w:rFonts w:ascii="Palatino Linotype" w:hAnsi="Palatino Linotype" w:cs="TimesNewRoman"/>
          <w:sz w:val="24"/>
          <w:szCs w:val="24"/>
        </w:rPr>
        <w:t>wyłączenie zbędnych identycznych kopii tych samych przesyłek lub pism;</w:t>
      </w:r>
    </w:p>
    <w:p w:rsidR="00D22C8D" w:rsidRDefault="00D22C8D">
      <w:pPr>
        <w:numPr>
          <w:ilvl w:val="0"/>
          <w:numId w:val="20"/>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Palatino Linotype"/>
          <w:sz w:val="24"/>
          <w:szCs w:val="24"/>
        </w:rPr>
        <w:t>odłożenie do teczek aktowych spisów spraw;</w:t>
      </w:r>
    </w:p>
    <w:p w:rsidR="00D22C8D" w:rsidRDefault="00D22C8D">
      <w:pPr>
        <w:numPr>
          <w:ilvl w:val="0"/>
          <w:numId w:val="20"/>
        </w:numPr>
        <w:tabs>
          <w:tab w:val="left" w:pos="426"/>
          <w:tab w:val="left" w:pos="709"/>
        </w:tabs>
        <w:autoSpaceDE w:val="0"/>
        <w:ind w:left="709" w:hanging="283"/>
        <w:jc w:val="both"/>
        <w:rPr>
          <w:rFonts w:ascii="Palatino Linotype" w:hAnsi="Palatino Linotype" w:cs="Palatino Linotype"/>
          <w:sz w:val="24"/>
          <w:szCs w:val="24"/>
        </w:rPr>
      </w:pPr>
      <w:r>
        <w:rPr>
          <w:rFonts w:ascii="Palatino Linotype" w:hAnsi="Palatino Linotype" w:cs="TimesNewRoman"/>
          <w:sz w:val="24"/>
          <w:szCs w:val="24"/>
        </w:rPr>
        <w:lastRenderedPageBreak/>
        <w:t>usunięcie z dokumentacji części metalowych i folii (np. spinacze, zszywki, wąsy, koszulki, itp.);</w:t>
      </w:r>
    </w:p>
    <w:p w:rsidR="00D22C8D" w:rsidRDefault="00D22C8D">
      <w:pPr>
        <w:numPr>
          <w:ilvl w:val="0"/>
          <w:numId w:val="20"/>
        </w:numPr>
        <w:tabs>
          <w:tab w:val="left" w:pos="426"/>
          <w:tab w:val="left" w:pos="709"/>
        </w:tabs>
        <w:autoSpaceDE w:val="0"/>
        <w:ind w:left="709" w:hanging="283"/>
        <w:jc w:val="both"/>
        <w:rPr>
          <w:rFonts w:ascii="Palatino Linotype" w:hAnsi="Palatino Linotype" w:cs="Palatino Linotype"/>
          <w:sz w:val="24"/>
          <w:szCs w:val="24"/>
        </w:rPr>
      </w:pPr>
      <w:r>
        <w:rPr>
          <w:rFonts w:ascii="Palatino Linotype" w:hAnsi="Palatino Linotype" w:cs="Palatino Linotype"/>
          <w:sz w:val="24"/>
          <w:szCs w:val="24"/>
        </w:rPr>
        <w:t>umieszczenie dokumentacji w wiązanych teczkach aktowych z tektury bezkwasowej (w przypadku akt osobowych dopuszcza się koperty) o grubości nie przekraczającej 5 cm, a tych – w pudłach, przy czym jeżeli grubość teczki przekracza 5 cm należy teczkę podzielić na tomy, chyba że jest to niemożliwe z przyczyn fizycznych;</w:t>
      </w:r>
    </w:p>
    <w:p w:rsidR="00D22C8D" w:rsidRDefault="00D22C8D">
      <w:pPr>
        <w:numPr>
          <w:ilvl w:val="0"/>
          <w:numId w:val="20"/>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Palatino Linotype"/>
          <w:sz w:val="24"/>
          <w:szCs w:val="24"/>
        </w:rPr>
        <w:t xml:space="preserve">ponumerowanie stron materiałów archiwalnych zwykłym miękkim ołówkiem nanosząc numer strony w prawym górnym rogu; liczbę stron w danej teczce podaje się na wewnętrznej części tylnej okładki w formie zapisu: </w:t>
      </w:r>
      <w:r>
        <w:rPr>
          <w:rFonts w:ascii="Palatino Linotype" w:hAnsi="Palatino Linotype" w:cs="Palatino Linotype"/>
          <w:i/>
          <w:sz w:val="24"/>
          <w:szCs w:val="24"/>
        </w:rPr>
        <w:t xml:space="preserve">„Niniejsza teczka zawiera .... stron kolejno ponumerowanych. </w:t>
      </w:r>
      <w:r>
        <w:rPr>
          <w:rFonts w:ascii="Palatino Linotype" w:hAnsi="Palatino Linotype" w:cs="Palatino Linotype"/>
          <w:sz w:val="24"/>
          <w:szCs w:val="24"/>
        </w:rPr>
        <w:t>[miejscowość, data, podpis osoby porządkującej i paginującej akta]</w:t>
      </w:r>
      <w:r>
        <w:rPr>
          <w:rFonts w:ascii="Palatino Linotype" w:hAnsi="Palatino Linotype" w:cs="Palatino Linotype"/>
          <w:i/>
          <w:sz w:val="24"/>
          <w:szCs w:val="24"/>
        </w:rPr>
        <w:t>”</w:t>
      </w:r>
      <w:r>
        <w:rPr>
          <w:rFonts w:ascii="Palatino Linotype" w:hAnsi="Palatino Linotype" w:cs="Palatino Linotype"/>
          <w:sz w:val="24"/>
          <w:szCs w:val="24"/>
        </w:rPr>
        <w:t>;</w:t>
      </w:r>
    </w:p>
    <w:p w:rsidR="00D22C8D" w:rsidRDefault="00D22C8D">
      <w:pPr>
        <w:numPr>
          <w:ilvl w:val="0"/>
          <w:numId w:val="20"/>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opisanie teczek aktowych, zgodnie z postanowieniami § 37 ust. 2</w:t>
      </w:r>
    </w:p>
    <w:p w:rsidR="00D22C8D" w:rsidRDefault="00D22C8D">
      <w:pPr>
        <w:numPr>
          <w:ilvl w:val="0"/>
          <w:numId w:val="20"/>
        </w:numPr>
        <w:tabs>
          <w:tab w:val="left" w:pos="426"/>
          <w:tab w:val="left" w:pos="709"/>
        </w:tabs>
        <w:autoSpaceDE w:val="0"/>
        <w:spacing w:after="120"/>
        <w:ind w:left="709" w:hanging="283"/>
        <w:jc w:val="both"/>
        <w:rPr>
          <w:rFonts w:ascii="Palatino Linotype" w:hAnsi="Palatino Linotype" w:cs="TimesNewRoman"/>
          <w:sz w:val="24"/>
          <w:szCs w:val="24"/>
        </w:rPr>
      </w:pPr>
      <w:r>
        <w:rPr>
          <w:rFonts w:ascii="Palatino Linotype" w:hAnsi="Palatino Linotype" w:cs="TimesNewRoman"/>
          <w:sz w:val="24"/>
          <w:szCs w:val="24"/>
        </w:rPr>
        <w:t>ułożenie teczek aktowych w kolejności wynikającej z wykazu akt odrębnie w ramach materiałów archiwalnych i odrębnie w ramach dokumentacji niearchiwalnej.</w:t>
      </w:r>
    </w:p>
    <w:p w:rsidR="00D22C8D" w:rsidRDefault="00D22C8D">
      <w:pPr>
        <w:numPr>
          <w:ilvl w:val="0"/>
          <w:numId w:val="78"/>
        </w:numPr>
        <w:tabs>
          <w:tab w:val="left" w:pos="426"/>
        </w:tabs>
        <w:autoSpaceDE w:val="0"/>
        <w:ind w:left="426" w:hanging="426"/>
        <w:jc w:val="both"/>
        <w:rPr>
          <w:rFonts w:ascii="Palatino Linotype" w:hAnsi="Palatino Linotype" w:cs="TimesNewRoman"/>
          <w:sz w:val="24"/>
          <w:szCs w:val="24"/>
        </w:rPr>
      </w:pPr>
      <w:r>
        <w:rPr>
          <w:rFonts w:ascii="Palatino Linotype" w:hAnsi="Palatino Linotype" w:cs="TimesNewRoman"/>
          <w:sz w:val="24"/>
          <w:szCs w:val="24"/>
        </w:rPr>
        <w:t>Przez uporządkowanie dokumentacji niearchiwalnej kategorii B10 i niższej, rozumie się:</w:t>
      </w:r>
    </w:p>
    <w:p w:rsidR="00D22C8D" w:rsidRDefault="00D22C8D">
      <w:pPr>
        <w:numPr>
          <w:ilvl w:val="0"/>
          <w:numId w:val="49"/>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odłożenie do teczek aktowych spisów spraw;</w:t>
      </w:r>
    </w:p>
    <w:p w:rsidR="00D22C8D" w:rsidRDefault="00D22C8D">
      <w:pPr>
        <w:numPr>
          <w:ilvl w:val="0"/>
          <w:numId w:val="49"/>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umieszczenie dokumentacji w teczkach aktowych wiązanych o grubości nie przekraczającej 5 cm,</w:t>
      </w:r>
      <w:r>
        <w:rPr>
          <w:rFonts w:ascii="Palatino Linotype" w:hAnsi="Palatino Linotype" w:cs="Palatino Linotype"/>
          <w:sz w:val="24"/>
          <w:szCs w:val="24"/>
        </w:rPr>
        <w:t xml:space="preserve"> a tych – w pudłach, lub umieszczenie dokumentacji bezpośrednio w paczkach lub w pudłach, przy czym jeżeli grubość teczki przekracza 5 cm należy teczkę podzielić na tomy, chyba że jest to niemożliwe z przyczyn fizycznych;</w:t>
      </w:r>
      <w:r>
        <w:rPr>
          <w:rFonts w:ascii="Palatino Linotype" w:hAnsi="Palatino Linotype" w:cs="TimesNewRoman"/>
          <w:sz w:val="24"/>
          <w:szCs w:val="24"/>
        </w:rPr>
        <w:t xml:space="preserve"> </w:t>
      </w:r>
    </w:p>
    <w:p w:rsidR="00D22C8D" w:rsidRDefault="00D22C8D">
      <w:pPr>
        <w:numPr>
          <w:ilvl w:val="0"/>
          <w:numId w:val="49"/>
        </w:numPr>
        <w:tabs>
          <w:tab w:val="left" w:pos="426"/>
          <w:tab w:val="left" w:pos="709"/>
        </w:tabs>
        <w:autoSpaceDE w:val="0"/>
        <w:ind w:left="709" w:hanging="283"/>
        <w:jc w:val="both"/>
        <w:rPr>
          <w:rFonts w:ascii="Palatino Linotype" w:hAnsi="Palatino Linotype" w:cs="TimesNewRoman"/>
          <w:sz w:val="24"/>
          <w:szCs w:val="24"/>
        </w:rPr>
      </w:pPr>
      <w:r>
        <w:rPr>
          <w:rFonts w:ascii="Palatino Linotype" w:hAnsi="Palatino Linotype" w:cs="TimesNewRoman"/>
          <w:sz w:val="24"/>
          <w:szCs w:val="24"/>
        </w:rPr>
        <w:t>opisanie teczek aktowych , zgodnie z przepisami § 37 ust. 2;</w:t>
      </w:r>
    </w:p>
    <w:p w:rsidR="00D22C8D" w:rsidRDefault="00D22C8D">
      <w:pPr>
        <w:numPr>
          <w:ilvl w:val="0"/>
          <w:numId w:val="49"/>
        </w:numPr>
        <w:tabs>
          <w:tab w:val="left" w:pos="426"/>
          <w:tab w:val="left" w:pos="709"/>
        </w:tabs>
        <w:autoSpaceDE w:val="0"/>
        <w:ind w:left="709" w:hanging="283"/>
        <w:jc w:val="both"/>
        <w:rPr>
          <w:sz w:val="24"/>
          <w:szCs w:val="24"/>
        </w:rPr>
      </w:pPr>
      <w:r>
        <w:rPr>
          <w:rFonts w:ascii="Palatino Linotype" w:hAnsi="Palatino Linotype" w:cs="TimesNewRoman"/>
          <w:sz w:val="24"/>
          <w:szCs w:val="24"/>
        </w:rPr>
        <w:t>ułożenie teczek aktowych w kolejności wynikającej z wykazu akt.</w:t>
      </w:r>
    </w:p>
    <w:p w:rsidR="00D22C8D" w:rsidRDefault="00D22C8D">
      <w:pPr>
        <w:spacing w:before="120" w:after="120"/>
        <w:jc w:val="center"/>
        <w:rPr>
          <w:rFonts w:ascii="Palatino Linotype" w:hAnsi="Palatino Linotype" w:cs="Arial"/>
          <w:color w:val="000000"/>
          <w:sz w:val="24"/>
          <w:szCs w:val="24"/>
        </w:rPr>
      </w:pPr>
      <w:r>
        <w:rPr>
          <w:sz w:val="24"/>
          <w:szCs w:val="24"/>
        </w:rPr>
        <w:t>§</w:t>
      </w:r>
      <w:r>
        <w:rPr>
          <w:rFonts w:ascii="Palatino Linotype" w:hAnsi="Palatino Linotype" w:cs="Palatino Linotype"/>
          <w:sz w:val="24"/>
          <w:szCs w:val="24"/>
        </w:rPr>
        <w:t xml:space="preserve"> 41.</w:t>
      </w:r>
    </w:p>
    <w:p w:rsidR="00D22C8D" w:rsidRDefault="00D22C8D">
      <w:pPr>
        <w:numPr>
          <w:ilvl w:val="0"/>
          <w:numId w:val="18"/>
        </w:numPr>
        <w:overflowPunct w:val="0"/>
        <w:autoSpaceDE w:val="0"/>
        <w:spacing w:after="120"/>
        <w:ind w:left="425" w:hanging="425"/>
        <w:jc w:val="both"/>
        <w:textAlignment w:val="baseline"/>
        <w:rPr>
          <w:rFonts w:ascii="Palatino Linotype" w:hAnsi="Palatino Linotype" w:cs="Arial"/>
          <w:color w:val="000000"/>
          <w:sz w:val="24"/>
          <w:szCs w:val="24"/>
        </w:rPr>
      </w:pPr>
      <w:r>
        <w:rPr>
          <w:rFonts w:ascii="Palatino Linotype" w:hAnsi="Palatino Linotype" w:cs="Arial"/>
          <w:color w:val="000000"/>
          <w:sz w:val="24"/>
          <w:szCs w:val="24"/>
        </w:rPr>
        <w:t>Komórki organizacyjne przekazują dokumentację do składnicy akt, na podstawie spisu zdawczo-odbiorczego. Sporządzenie spisu należy do obowiązków pracownika wyznaczonego przez kierownika komórki organizacyjnej przekazującej dokumentację.</w:t>
      </w:r>
    </w:p>
    <w:p w:rsidR="00D22C8D" w:rsidRDefault="00D22C8D">
      <w:pPr>
        <w:numPr>
          <w:ilvl w:val="0"/>
          <w:numId w:val="18"/>
        </w:numPr>
        <w:overflowPunct w:val="0"/>
        <w:autoSpaceDE w:val="0"/>
        <w:spacing w:after="120"/>
        <w:ind w:left="425" w:hanging="425"/>
        <w:jc w:val="both"/>
        <w:textAlignment w:val="baseline"/>
        <w:rPr>
          <w:rFonts w:ascii="Palatino Linotype" w:hAnsi="Palatino Linotype" w:cs="Arial"/>
          <w:color w:val="000000"/>
          <w:sz w:val="24"/>
          <w:szCs w:val="24"/>
        </w:rPr>
      </w:pPr>
      <w:r>
        <w:rPr>
          <w:rFonts w:ascii="Palatino Linotype" w:hAnsi="Palatino Linotype" w:cs="Arial"/>
          <w:color w:val="000000"/>
          <w:sz w:val="24"/>
          <w:szCs w:val="24"/>
        </w:rPr>
        <w:t>Spis zdawczo-odbiorczy sporządza się w postaci papierowej lub w postaci elektronicznej.</w:t>
      </w:r>
    </w:p>
    <w:p w:rsidR="00D22C8D" w:rsidRDefault="00D22C8D">
      <w:pPr>
        <w:numPr>
          <w:ilvl w:val="0"/>
          <w:numId w:val="18"/>
        </w:numPr>
        <w:overflowPunct w:val="0"/>
        <w:autoSpaceDE w:val="0"/>
        <w:spacing w:after="120"/>
        <w:ind w:left="425" w:hanging="425"/>
        <w:jc w:val="both"/>
        <w:textAlignment w:val="baseline"/>
        <w:rPr>
          <w:rFonts w:ascii="Palatino Linotype" w:hAnsi="Palatino Linotype" w:cs="Arial"/>
          <w:color w:val="000000"/>
          <w:sz w:val="24"/>
          <w:szCs w:val="24"/>
        </w:rPr>
      </w:pPr>
      <w:r>
        <w:rPr>
          <w:rFonts w:ascii="Palatino Linotype" w:hAnsi="Palatino Linotype" w:cs="Arial"/>
          <w:color w:val="000000"/>
          <w:sz w:val="24"/>
          <w:szCs w:val="24"/>
        </w:rPr>
        <w:t>Spis zdawczo-odbiorczy w postaci elektronicznej sporządza się w przypadku wykorzystywania w składnicy akt narzędzi informatycznych, spełniających wymagania określone w instrukcji w sprawie organizacji i zakresu działania składnicy akt.</w:t>
      </w:r>
    </w:p>
    <w:p w:rsidR="00D22C8D" w:rsidRDefault="00D22C8D">
      <w:pPr>
        <w:numPr>
          <w:ilvl w:val="0"/>
          <w:numId w:val="18"/>
        </w:numPr>
        <w:overflowPunct w:val="0"/>
        <w:autoSpaceDE w:val="0"/>
        <w:spacing w:after="120"/>
        <w:ind w:left="425" w:hanging="425"/>
        <w:jc w:val="both"/>
        <w:textAlignment w:val="baseline"/>
        <w:rPr>
          <w:rFonts w:ascii="Palatino Linotype" w:hAnsi="Palatino Linotype" w:cs="Arial"/>
          <w:color w:val="000000"/>
          <w:sz w:val="24"/>
          <w:szCs w:val="24"/>
        </w:rPr>
      </w:pPr>
      <w:r>
        <w:rPr>
          <w:rFonts w:ascii="Palatino Linotype" w:hAnsi="Palatino Linotype" w:cs="Arial"/>
          <w:color w:val="000000"/>
          <w:sz w:val="24"/>
          <w:szCs w:val="24"/>
        </w:rPr>
        <w:t xml:space="preserve">Spis zdawczo-odbiorczy w postaci papierowej sporządza się odrębnie dla materiałów archiwalnych (dokumentacji kategorii A) w czterech egzemplarzach i dokumentacji niearchiwalnej (dokumentacji kategorii B) w trzech egzemplarzach, przy czym jeden egzemplarz spisu zdawczo-odbiorczego </w:t>
      </w:r>
      <w:r>
        <w:rPr>
          <w:rFonts w:ascii="Palatino Linotype" w:hAnsi="Palatino Linotype" w:cs="Arial"/>
          <w:color w:val="000000"/>
          <w:sz w:val="24"/>
          <w:szCs w:val="24"/>
        </w:rPr>
        <w:lastRenderedPageBreak/>
        <w:t>zatrzymuje komórka organizacyjna przekazująca dokumentację, pozostałe są przeznaczone dla składnicy akt.</w:t>
      </w:r>
    </w:p>
    <w:p w:rsidR="00D22C8D" w:rsidRDefault="00D22C8D">
      <w:pPr>
        <w:numPr>
          <w:ilvl w:val="0"/>
          <w:numId w:val="18"/>
        </w:numPr>
        <w:overflowPunct w:val="0"/>
        <w:autoSpaceDE w:val="0"/>
        <w:spacing w:after="120"/>
        <w:ind w:left="426" w:hanging="426"/>
        <w:jc w:val="both"/>
        <w:textAlignment w:val="baseline"/>
        <w:rPr>
          <w:rFonts w:ascii="Palatino Linotype" w:hAnsi="Palatino Linotype" w:cs="Palatino Linotype"/>
          <w:sz w:val="24"/>
          <w:szCs w:val="24"/>
        </w:rPr>
      </w:pPr>
      <w:r>
        <w:rPr>
          <w:rFonts w:ascii="Palatino Linotype" w:hAnsi="Palatino Linotype" w:cs="Arial"/>
          <w:color w:val="000000"/>
          <w:sz w:val="24"/>
          <w:szCs w:val="24"/>
        </w:rPr>
        <w:t>Spis</w:t>
      </w:r>
      <w:r>
        <w:rPr>
          <w:rFonts w:ascii="Palatino Linotype" w:hAnsi="Palatino Linotype" w:cs="Palatino Linotype"/>
          <w:sz w:val="24"/>
          <w:szCs w:val="24"/>
        </w:rPr>
        <w:t xml:space="preserve"> zdawczo-odbiorczy powinien zawierać co najmniej następujące elementy:</w:t>
      </w:r>
    </w:p>
    <w:p w:rsidR="00D22C8D" w:rsidRDefault="00D22C8D">
      <w:pPr>
        <w:numPr>
          <w:ilvl w:val="0"/>
          <w:numId w:val="21"/>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dla całego spisu:</w:t>
      </w:r>
    </w:p>
    <w:p w:rsidR="00D22C8D" w:rsidRDefault="00D22C8D">
      <w:pPr>
        <w:numPr>
          <w:ilvl w:val="0"/>
          <w:numId w:val="5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pełną nazwę jednostki i komórki organizacyjnej przekazującej dokumentację,</w:t>
      </w:r>
    </w:p>
    <w:p w:rsidR="00D22C8D" w:rsidRDefault="00D22C8D">
      <w:pPr>
        <w:numPr>
          <w:ilvl w:val="0"/>
          <w:numId w:val="5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imię, nazwisko i podpis pracownika, który przygotował spis,</w:t>
      </w:r>
    </w:p>
    <w:p w:rsidR="00D22C8D" w:rsidRDefault="00D22C8D">
      <w:pPr>
        <w:numPr>
          <w:ilvl w:val="0"/>
          <w:numId w:val="5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imię, nazwisko i podpis kierownika komórki organizacyjnej przekazującej dokumentację,</w:t>
      </w:r>
    </w:p>
    <w:p w:rsidR="00D22C8D" w:rsidRDefault="00D22C8D">
      <w:pPr>
        <w:numPr>
          <w:ilvl w:val="0"/>
          <w:numId w:val="53"/>
        </w:numPr>
        <w:ind w:left="851" w:hanging="284"/>
        <w:jc w:val="both"/>
        <w:rPr>
          <w:rFonts w:ascii="Palatino Linotype" w:hAnsi="Palatino Linotype" w:cs="Palatino Linotype"/>
          <w:sz w:val="24"/>
          <w:szCs w:val="24"/>
        </w:rPr>
      </w:pPr>
      <w:r>
        <w:rPr>
          <w:rFonts w:ascii="Palatino Linotype" w:hAnsi="Palatino Linotype" w:cs="Palatino Linotype"/>
          <w:sz w:val="24"/>
          <w:szCs w:val="24"/>
        </w:rPr>
        <w:t>imię, nazwisko i podpis archiwisty przyjmującego dokumentację,</w:t>
      </w:r>
    </w:p>
    <w:p w:rsidR="00D22C8D" w:rsidRDefault="00D22C8D">
      <w:pPr>
        <w:numPr>
          <w:ilvl w:val="0"/>
          <w:numId w:val="53"/>
        </w:numPr>
        <w:spacing w:after="120"/>
        <w:ind w:left="851" w:hanging="284"/>
        <w:jc w:val="both"/>
        <w:rPr>
          <w:rFonts w:ascii="Palatino Linotype" w:hAnsi="Palatino Linotype" w:cs="Palatino Linotype"/>
          <w:sz w:val="24"/>
          <w:szCs w:val="24"/>
        </w:rPr>
      </w:pPr>
      <w:r>
        <w:rPr>
          <w:rFonts w:ascii="Palatino Linotype" w:hAnsi="Palatino Linotype" w:cs="Palatino Linotype"/>
          <w:sz w:val="24"/>
          <w:szCs w:val="24"/>
        </w:rPr>
        <w:t>datę przekazania spisu;</w:t>
      </w:r>
    </w:p>
    <w:p w:rsidR="00D22C8D" w:rsidRDefault="00D22C8D">
      <w:pPr>
        <w:numPr>
          <w:ilvl w:val="0"/>
          <w:numId w:val="21"/>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dla każdej pozycji spisu:</w:t>
      </w:r>
    </w:p>
    <w:p w:rsidR="00D22C8D" w:rsidRDefault="00D22C8D">
      <w:pPr>
        <w:numPr>
          <w:ilvl w:val="0"/>
          <w:numId w:val="74"/>
        </w:numPr>
        <w:tabs>
          <w:tab w:val="left" w:pos="851"/>
        </w:tabs>
        <w:ind w:hanging="153"/>
        <w:jc w:val="both"/>
        <w:rPr>
          <w:rFonts w:ascii="Palatino Linotype" w:hAnsi="Palatino Linotype" w:cs="Palatino Linotype"/>
          <w:sz w:val="24"/>
          <w:szCs w:val="24"/>
        </w:rPr>
      </w:pPr>
      <w:r>
        <w:rPr>
          <w:rFonts w:ascii="Palatino Linotype" w:hAnsi="Palatino Linotype" w:cs="Palatino Linotype"/>
          <w:sz w:val="24"/>
          <w:szCs w:val="24"/>
        </w:rPr>
        <w:t>liczbę porządkową,</w:t>
      </w:r>
    </w:p>
    <w:p w:rsidR="00D22C8D" w:rsidRDefault="00D22C8D">
      <w:pPr>
        <w:numPr>
          <w:ilvl w:val="0"/>
          <w:numId w:val="74"/>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część znaku sprawy, to jest oznaczenie komórki organizacyjnej i symbol klasyfikacyjny z wykazu akt, a w przypadku wydzielania określonych spraw z danej klasy w wykazie akt w osobne zbory, dodatkowo numeru sprawy, który stał się podstawą wydzielenia grupy spraw,</w:t>
      </w:r>
    </w:p>
    <w:p w:rsidR="00D22C8D" w:rsidRDefault="00D22C8D">
      <w:pPr>
        <w:numPr>
          <w:ilvl w:val="0"/>
          <w:numId w:val="74"/>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tytuł teczki złożony z pełnego hasła klasyfikacyjnego z wykazu akt i informacji o rodzaju dokumentacji (na przykład pisma, faktury, wnioski, skargi, noty księgowe, umowy, opinie, notatki) występującej w teczce,</w:t>
      </w:r>
    </w:p>
    <w:p w:rsidR="00D22C8D" w:rsidRDefault="00D22C8D">
      <w:pPr>
        <w:numPr>
          <w:ilvl w:val="0"/>
          <w:numId w:val="74"/>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rok założenia teczki aktowej,</w:t>
      </w:r>
    </w:p>
    <w:p w:rsidR="00D22C8D" w:rsidRDefault="00D22C8D">
      <w:pPr>
        <w:numPr>
          <w:ilvl w:val="0"/>
          <w:numId w:val="74"/>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rocznych dat skrajnych, na które składają się rok najwcześniejszego i najpóźniejszego pisma w teczce aktowej,</w:t>
      </w:r>
    </w:p>
    <w:p w:rsidR="00D22C8D" w:rsidRDefault="00D22C8D">
      <w:pPr>
        <w:numPr>
          <w:ilvl w:val="0"/>
          <w:numId w:val="74"/>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liczbę tomów jednej teczki aktowej przekazanych w ramach danej pozycji spisu,</w:t>
      </w:r>
    </w:p>
    <w:p w:rsidR="00D22C8D" w:rsidRDefault="00D22C8D">
      <w:pPr>
        <w:numPr>
          <w:ilvl w:val="0"/>
          <w:numId w:val="74"/>
        </w:numPr>
        <w:tabs>
          <w:tab w:val="left" w:pos="851"/>
        </w:tabs>
        <w:spacing w:after="120"/>
        <w:ind w:left="851" w:hanging="284"/>
        <w:jc w:val="both"/>
        <w:rPr>
          <w:rFonts w:ascii="Palatino Linotype" w:hAnsi="Palatino Linotype" w:cs="Palatino Linotype"/>
          <w:sz w:val="24"/>
          <w:szCs w:val="24"/>
        </w:rPr>
      </w:pPr>
      <w:r>
        <w:rPr>
          <w:rFonts w:ascii="Palatino Linotype" w:hAnsi="Palatino Linotype" w:cs="Palatino Linotype"/>
          <w:sz w:val="24"/>
          <w:szCs w:val="24"/>
        </w:rPr>
        <w:t>oznaczenie kategorii archiwalnej.</w:t>
      </w:r>
    </w:p>
    <w:p w:rsidR="00D22C8D" w:rsidRDefault="00D22C8D">
      <w:pPr>
        <w:numPr>
          <w:ilvl w:val="0"/>
          <w:numId w:val="18"/>
        </w:numPr>
        <w:overflowPunct w:val="0"/>
        <w:autoSpaceDE w:val="0"/>
        <w:spacing w:after="120"/>
        <w:ind w:left="426" w:hanging="426"/>
        <w:jc w:val="both"/>
        <w:textAlignment w:val="baseline"/>
        <w:rPr>
          <w:sz w:val="24"/>
          <w:szCs w:val="24"/>
        </w:rPr>
      </w:pPr>
      <w:r>
        <w:rPr>
          <w:rFonts w:ascii="Palatino Linotype" w:hAnsi="Palatino Linotype" w:cs="Palatino Linotype"/>
          <w:sz w:val="24"/>
          <w:szCs w:val="24"/>
        </w:rPr>
        <w:t>Uwzględniając odrębność spisów, o której mowa w ust. 4, sporządza się oddzielne spisy dla specyficznych rodzajów dokumentacji (na przykład dla dokumentacji technicznej, audiowizualnej, osobowej), jeżeli wynika to z potrzeb</w:t>
      </w:r>
      <w:r w:rsidR="000B1602">
        <w:rPr>
          <w:rFonts w:ascii="Palatino Linotype" w:hAnsi="Palatino Linotype" w:cs="Palatino Linotype"/>
          <w:sz w:val="24"/>
          <w:szCs w:val="24"/>
        </w:rPr>
        <w:t xml:space="preserve"> MP37</w:t>
      </w:r>
      <w:r>
        <w:rPr>
          <w:rFonts w:ascii="Palatino Linotype" w:hAnsi="Palatino Linotype" w:cs="Palatino Linotype"/>
          <w:sz w:val="24"/>
          <w:szCs w:val="24"/>
        </w:rPr>
        <w:t>, lub zaleceń dyrektora właściwego archiwum państwowego lub jeśli dane wymienione w ust. 5 pkt 2 są niewystarczające dla opisania tych rodzajów dokumentacji.</w:t>
      </w:r>
    </w:p>
    <w:p w:rsidR="00D22C8D" w:rsidRDefault="00D22C8D">
      <w:pPr>
        <w:spacing w:before="120" w:after="120"/>
        <w:ind w:left="788"/>
        <w:jc w:val="center"/>
        <w:rPr>
          <w:rFonts w:ascii="Palatino Linotype" w:hAnsi="Palatino Linotype" w:cs="Palatino Linotype"/>
          <w:sz w:val="24"/>
          <w:szCs w:val="24"/>
        </w:rPr>
      </w:pPr>
      <w:r>
        <w:rPr>
          <w:sz w:val="24"/>
          <w:szCs w:val="24"/>
        </w:rPr>
        <w:t>§</w:t>
      </w:r>
      <w:r>
        <w:rPr>
          <w:rFonts w:ascii="Palatino Linotype" w:hAnsi="Palatino Linotype" w:cs="Palatino Linotype"/>
          <w:sz w:val="24"/>
          <w:szCs w:val="24"/>
        </w:rPr>
        <w:t xml:space="preserve"> 42.</w:t>
      </w:r>
    </w:p>
    <w:p w:rsidR="00D22C8D" w:rsidRDefault="00D22C8D">
      <w:pPr>
        <w:numPr>
          <w:ilvl w:val="0"/>
          <w:numId w:val="48"/>
        </w:numPr>
        <w:spacing w:before="120"/>
        <w:ind w:left="284" w:hanging="284"/>
        <w:jc w:val="both"/>
        <w:rPr>
          <w:rFonts w:ascii="Palatino Linotype" w:hAnsi="Palatino Linotype" w:cs="Palatino Linotype"/>
          <w:sz w:val="24"/>
          <w:szCs w:val="24"/>
        </w:rPr>
      </w:pPr>
      <w:r>
        <w:rPr>
          <w:rFonts w:ascii="Palatino Linotype" w:hAnsi="Palatino Linotype" w:cs="Palatino Linotype"/>
          <w:sz w:val="24"/>
          <w:szCs w:val="24"/>
        </w:rPr>
        <w:t>Każdy informatyczny nośnik danych przekazywany ze składu informatycznego nośników danych do składnicy powinien być trwale oznakowany w sposób pozwalający na jego jednoznaczną identyfikację.</w:t>
      </w:r>
    </w:p>
    <w:p w:rsidR="00D22C8D" w:rsidRDefault="00D22C8D">
      <w:pPr>
        <w:numPr>
          <w:ilvl w:val="0"/>
          <w:numId w:val="48"/>
        </w:numPr>
        <w:spacing w:before="120"/>
        <w:ind w:left="284" w:hanging="284"/>
        <w:jc w:val="both"/>
        <w:rPr>
          <w:rFonts w:ascii="Palatino Linotype" w:hAnsi="Palatino Linotype" w:cs="Palatino Linotype"/>
          <w:sz w:val="24"/>
          <w:szCs w:val="24"/>
        </w:rPr>
      </w:pPr>
      <w:r>
        <w:rPr>
          <w:rFonts w:ascii="Palatino Linotype" w:hAnsi="Palatino Linotype" w:cs="Palatino Linotype"/>
          <w:sz w:val="24"/>
          <w:szCs w:val="24"/>
        </w:rPr>
        <w:t>Spis zdawczo-odbiorczy nośników, o których mowa w ust. 1, powinien zawierać:</w:t>
      </w:r>
    </w:p>
    <w:p w:rsidR="00D22C8D" w:rsidRDefault="00D22C8D">
      <w:pPr>
        <w:numPr>
          <w:ilvl w:val="0"/>
          <w:numId w:val="3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dla całego spisu:</w:t>
      </w:r>
    </w:p>
    <w:p w:rsidR="00D22C8D" w:rsidRDefault="00D22C8D">
      <w:pPr>
        <w:numPr>
          <w:ilvl w:val="0"/>
          <w:numId w:val="19"/>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pełną nazwę jednostki i komórki organizacyjnej przekazującej nośniki,</w:t>
      </w:r>
    </w:p>
    <w:p w:rsidR="00D22C8D" w:rsidRDefault="00D22C8D">
      <w:pPr>
        <w:numPr>
          <w:ilvl w:val="0"/>
          <w:numId w:val="19"/>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imię, nazwisko i podpis pracownika, który przygotował spis,</w:t>
      </w:r>
    </w:p>
    <w:p w:rsidR="00D22C8D" w:rsidRDefault="00D22C8D">
      <w:pPr>
        <w:numPr>
          <w:ilvl w:val="0"/>
          <w:numId w:val="19"/>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lastRenderedPageBreak/>
        <w:t>imię, nazwisko i podpis kierownika komórki organizacyjnej odpowiadającej za skład informatycznych nośników danych,</w:t>
      </w:r>
    </w:p>
    <w:p w:rsidR="00D22C8D" w:rsidRDefault="00D22C8D">
      <w:pPr>
        <w:numPr>
          <w:ilvl w:val="0"/>
          <w:numId w:val="19"/>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imię, nazwisko i podpis archiwisty przyjmującego nośniki,</w:t>
      </w:r>
    </w:p>
    <w:p w:rsidR="00D22C8D" w:rsidRDefault="00D22C8D">
      <w:pPr>
        <w:numPr>
          <w:ilvl w:val="0"/>
          <w:numId w:val="19"/>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datę przekazania spisu;</w:t>
      </w:r>
    </w:p>
    <w:p w:rsidR="00D22C8D" w:rsidRDefault="00D22C8D">
      <w:pPr>
        <w:numPr>
          <w:ilvl w:val="0"/>
          <w:numId w:val="35"/>
        </w:numPr>
        <w:ind w:left="567" w:hanging="283"/>
        <w:jc w:val="both"/>
        <w:rPr>
          <w:rFonts w:ascii="Palatino Linotype" w:hAnsi="Palatino Linotype" w:cs="Palatino Linotype"/>
          <w:sz w:val="24"/>
          <w:szCs w:val="24"/>
        </w:rPr>
      </w:pPr>
      <w:r>
        <w:rPr>
          <w:rFonts w:ascii="Palatino Linotype" w:hAnsi="Palatino Linotype" w:cs="Palatino Linotype"/>
          <w:sz w:val="24"/>
          <w:szCs w:val="24"/>
        </w:rPr>
        <w:t>dla każdej pozycji spisu:</w:t>
      </w:r>
    </w:p>
    <w:p w:rsidR="00D22C8D" w:rsidRDefault="00D22C8D">
      <w:pPr>
        <w:numPr>
          <w:ilvl w:val="0"/>
          <w:numId w:val="41"/>
        </w:numPr>
        <w:tabs>
          <w:tab w:val="left" w:pos="851"/>
        </w:tabs>
        <w:ind w:hanging="153"/>
        <w:jc w:val="both"/>
        <w:rPr>
          <w:rFonts w:ascii="Palatino Linotype" w:hAnsi="Palatino Linotype" w:cs="Palatino Linotype"/>
          <w:sz w:val="24"/>
          <w:szCs w:val="24"/>
        </w:rPr>
      </w:pPr>
      <w:r>
        <w:rPr>
          <w:rFonts w:ascii="Palatino Linotype" w:hAnsi="Palatino Linotype" w:cs="Palatino Linotype"/>
          <w:sz w:val="24"/>
          <w:szCs w:val="24"/>
        </w:rPr>
        <w:t>liczbę porządkową,</w:t>
      </w:r>
    </w:p>
    <w:p w:rsidR="00D22C8D" w:rsidRDefault="00D22C8D">
      <w:pPr>
        <w:numPr>
          <w:ilvl w:val="0"/>
          <w:numId w:val="41"/>
        </w:numPr>
        <w:tabs>
          <w:tab w:val="left" w:pos="851"/>
        </w:tabs>
        <w:ind w:hanging="153"/>
        <w:jc w:val="both"/>
        <w:rPr>
          <w:rFonts w:ascii="Palatino Linotype" w:hAnsi="Palatino Linotype" w:cs="Palatino Linotype"/>
          <w:sz w:val="24"/>
          <w:szCs w:val="24"/>
        </w:rPr>
      </w:pPr>
      <w:r>
        <w:rPr>
          <w:rFonts w:ascii="Palatino Linotype" w:hAnsi="Palatino Linotype" w:cs="Palatino Linotype"/>
          <w:sz w:val="24"/>
          <w:szCs w:val="24"/>
        </w:rPr>
        <w:t>oznaczenie nośnika, o którym mowa w ust. 1,</w:t>
      </w:r>
    </w:p>
    <w:p w:rsidR="00D22C8D" w:rsidRDefault="00D22C8D">
      <w:pPr>
        <w:numPr>
          <w:ilvl w:val="0"/>
          <w:numId w:val="41"/>
        </w:numPr>
        <w:tabs>
          <w:tab w:val="left" w:pos="851"/>
        </w:tabs>
        <w:ind w:hanging="153"/>
        <w:jc w:val="both"/>
        <w:rPr>
          <w:rFonts w:ascii="Palatino Linotype" w:hAnsi="Palatino Linotype" w:cs="Palatino Linotype"/>
          <w:sz w:val="24"/>
          <w:szCs w:val="24"/>
        </w:rPr>
      </w:pPr>
      <w:r>
        <w:rPr>
          <w:rFonts w:ascii="Palatino Linotype" w:hAnsi="Palatino Linotype" w:cs="Palatino Linotype"/>
          <w:sz w:val="24"/>
          <w:szCs w:val="24"/>
        </w:rPr>
        <w:t>określenie typu nośnika,</w:t>
      </w:r>
    </w:p>
    <w:p w:rsidR="00D22C8D" w:rsidRDefault="00D22C8D">
      <w:pPr>
        <w:numPr>
          <w:ilvl w:val="0"/>
          <w:numId w:val="41"/>
        </w:numPr>
        <w:tabs>
          <w:tab w:val="left" w:pos="851"/>
        </w:tabs>
        <w:ind w:left="851" w:hanging="284"/>
        <w:jc w:val="both"/>
        <w:rPr>
          <w:rFonts w:ascii="Palatino Linotype" w:hAnsi="Palatino Linotype" w:cs="Palatino Linotype"/>
          <w:sz w:val="24"/>
          <w:szCs w:val="24"/>
        </w:rPr>
      </w:pPr>
      <w:r>
        <w:rPr>
          <w:rFonts w:ascii="Palatino Linotype" w:hAnsi="Palatino Linotype" w:cs="Palatino Linotype"/>
          <w:sz w:val="24"/>
          <w:szCs w:val="24"/>
        </w:rPr>
        <w:t>odpowiednio znak sprawy lub symbol klasyfikacyjny, z którym powiązany jest nośnik, oraz oznaczenie roku,</w:t>
      </w:r>
    </w:p>
    <w:p w:rsidR="00D22C8D" w:rsidRDefault="00D22C8D">
      <w:pPr>
        <w:numPr>
          <w:ilvl w:val="0"/>
          <w:numId w:val="41"/>
        </w:numPr>
        <w:tabs>
          <w:tab w:val="left" w:pos="851"/>
        </w:tabs>
        <w:ind w:left="851" w:hanging="284"/>
        <w:jc w:val="both"/>
        <w:rPr>
          <w:rFonts w:ascii="Palatino Linotype" w:hAnsi="Palatino Linotype" w:cs="Arial"/>
          <w:color w:val="000000"/>
          <w:sz w:val="24"/>
          <w:szCs w:val="24"/>
        </w:rPr>
      </w:pPr>
      <w:r>
        <w:rPr>
          <w:rFonts w:ascii="Palatino Linotype" w:hAnsi="Palatino Linotype" w:cs="Palatino Linotype"/>
          <w:sz w:val="24"/>
          <w:szCs w:val="24"/>
        </w:rPr>
        <w:t>numer seryjny nośnika, jeśli występuje.</w:t>
      </w:r>
    </w:p>
    <w:p w:rsidR="00D22C8D" w:rsidRDefault="00D22C8D">
      <w:pPr>
        <w:spacing w:before="120" w:after="120"/>
        <w:ind w:left="788"/>
        <w:jc w:val="center"/>
        <w:rPr>
          <w:rFonts w:ascii="Palatino Linotype" w:hAnsi="Palatino Linotype" w:cs="Arial"/>
          <w:color w:val="000000"/>
          <w:sz w:val="24"/>
          <w:szCs w:val="24"/>
        </w:rPr>
      </w:pPr>
      <w:r>
        <w:rPr>
          <w:rFonts w:ascii="Palatino Linotype" w:hAnsi="Palatino Linotype" w:cs="Arial"/>
          <w:color w:val="000000"/>
          <w:sz w:val="24"/>
          <w:szCs w:val="24"/>
        </w:rPr>
        <w:t>§ 43.</w:t>
      </w:r>
    </w:p>
    <w:p w:rsidR="00D22C8D" w:rsidRDefault="00D22C8D">
      <w:pPr>
        <w:spacing w:after="120"/>
        <w:jc w:val="both"/>
        <w:rPr>
          <w:rFonts w:ascii="Palatino Linotype" w:hAnsi="Palatino Linotype" w:cs="Palatino Linotype"/>
          <w:caps/>
          <w:sz w:val="24"/>
          <w:szCs w:val="24"/>
        </w:rPr>
      </w:pPr>
      <w:r>
        <w:rPr>
          <w:rFonts w:ascii="Palatino Linotype" w:hAnsi="Palatino Linotype" w:cs="Arial"/>
          <w:color w:val="000000"/>
          <w:sz w:val="24"/>
          <w:szCs w:val="24"/>
        </w:rPr>
        <w:t>Do przekazanej dokumentacji należy dołączyć wszelkie pomoce ewidencyjne: rejestry, ewidencje, kartoteki, skorowidze, itp.</w:t>
      </w:r>
    </w:p>
    <w:p w:rsidR="00D22C8D" w:rsidRDefault="00D22C8D">
      <w:pPr>
        <w:jc w:val="both"/>
        <w:rPr>
          <w:rFonts w:ascii="Palatino Linotype" w:hAnsi="Palatino Linotype" w:cs="Palatino Linotype"/>
          <w:caps/>
          <w:sz w:val="24"/>
          <w:szCs w:val="24"/>
        </w:rPr>
      </w:pPr>
    </w:p>
    <w:p w:rsidR="00D22C8D" w:rsidRDefault="00D22C8D">
      <w:pPr>
        <w:pStyle w:val="Nagwek1"/>
        <w:jc w:val="center"/>
        <w:rPr>
          <w:rFonts w:ascii="Palatino Linotype" w:hAnsi="Palatino Linotype" w:cs="Palatino Linotype"/>
          <w:sz w:val="26"/>
          <w:szCs w:val="26"/>
        </w:rPr>
      </w:pPr>
      <w:r>
        <w:rPr>
          <w:rFonts w:ascii="Palatino Linotype" w:hAnsi="Palatino Linotype" w:cs="Palatino Linotype"/>
          <w:sz w:val="28"/>
          <w:szCs w:val="28"/>
        </w:rPr>
        <w:t>Rozdział 9</w:t>
      </w:r>
    </w:p>
    <w:p w:rsidR="000B1602" w:rsidRPr="000B1602" w:rsidRDefault="00D22C8D">
      <w:pPr>
        <w:pStyle w:val="Nagwek1"/>
        <w:spacing w:before="0"/>
        <w:jc w:val="center"/>
        <w:rPr>
          <w:rFonts w:ascii="Palatino Linotype" w:hAnsi="Palatino Linotype" w:cs="Calibri"/>
          <w:sz w:val="24"/>
          <w:szCs w:val="24"/>
        </w:rPr>
      </w:pPr>
      <w:r>
        <w:rPr>
          <w:rFonts w:ascii="Palatino Linotype" w:hAnsi="Palatino Linotype" w:cs="Palatino Linotype"/>
          <w:sz w:val="26"/>
          <w:szCs w:val="26"/>
        </w:rPr>
        <w:t>Postępowanie z dokumentacją w przypadku ustania działalności</w:t>
      </w:r>
      <w:r w:rsidR="000B1602">
        <w:rPr>
          <w:rFonts w:ascii="Palatino Linotype" w:hAnsi="Palatino Linotype" w:cs="Palatino Linotype"/>
          <w:sz w:val="26"/>
          <w:szCs w:val="26"/>
        </w:rPr>
        <w:t xml:space="preserve"> MP37</w:t>
      </w:r>
      <w:r>
        <w:rPr>
          <w:rFonts w:ascii="Palatino Linotype" w:hAnsi="Palatino Linotype" w:cs="Palatino Linotype"/>
          <w:i/>
          <w:sz w:val="26"/>
          <w:szCs w:val="26"/>
        </w:rPr>
        <w:t>,</w:t>
      </w:r>
      <w:r>
        <w:rPr>
          <w:rFonts w:ascii="Palatino Linotype" w:hAnsi="Palatino Linotype" w:cs="Palatino Linotype"/>
          <w:sz w:val="26"/>
          <w:szCs w:val="26"/>
        </w:rPr>
        <w:t xml:space="preserve"> </w:t>
      </w:r>
    </w:p>
    <w:p w:rsidR="00D22C8D" w:rsidRDefault="00D22C8D">
      <w:pPr>
        <w:pStyle w:val="Nagwek1"/>
        <w:spacing w:before="0"/>
        <w:jc w:val="center"/>
        <w:rPr>
          <w:rFonts w:ascii="Palatino Linotype" w:hAnsi="Palatino Linotype" w:cs="Calibri"/>
          <w:sz w:val="24"/>
          <w:szCs w:val="24"/>
        </w:rPr>
      </w:pPr>
      <w:r>
        <w:rPr>
          <w:rFonts w:ascii="Palatino Linotype" w:hAnsi="Palatino Linotype" w:cs="Palatino Linotype"/>
          <w:sz w:val="26"/>
          <w:szCs w:val="26"/>
        </w:rPr>
        <w:t>jej komórki organizacyjnej lub ich reorganizacji</w:t>
      </w:r>
    </w:p>
    <w:p w:rsidR="00D22C8D" w:rsidRDefault="00D22C8D">
      <w:pPr>
        <w:pStyle w:val="ListParagraph"/>
        <w:spacing w:before="120" w:after="120" w:line="240" w:lineRule="auto"/>
        <w:ind w:left="357"/>
        <w:jc w:val="center"/>
        <w:rPr>
          <w:rFonts w:ascii="Palatino Linotype" w:hAnsi="Palatino Linotype" w:cs="Palatino Linotype"/>
          <w:sz w:val="24"/>
          <w:szCs w:val="24"/>
        </w:rPr>
      </w:pPr>
      <w:r>
        <w:rPr>
          <w:rFonts w:ascii="Palatino Linotype" w:hAnsi="Palatino Linotype"/>
          <w:sz w:val="24"/>
          <w:szCs w:val="24"/>
        </w:rPr>
        <w:t>§</w:t>
      </w:r>
      <w:r>
        <w:rPr>
          <w:rFonts w:ascii="Palatino Linotype" w:hAnsi="Palatino Linotype" w:cs="Palatino Linotype"/>
          <w:sz w:val="24"/>
          <w:szCs w:val="24"/>
        </w:rPr>
        <w:t xml:space="preserve"> 44.</w:t>
      </w:r>
    </w:p>
    <w:p w:rsidR="00D22C8D" w:rsidRDefault="00D22C8D">
      <w:pPr>
        <w:pStyle w:val="ListParagraph"/>
        <w:numPr>
          <w:ilvl w:val="0"/>
          <w:numId w:val="31"/>
        </w:numPr>
        <w:spacing w:after="60" w:line="240" w:lineRule="auto"/>
        <w:rPr>
          <w:rFonts w:ascii="Palatino Linotype" w:hAnsi="Palatino Linotype" w:cs="Palatino Linotype"/>
          <w:color w:val="000000"/>
          <w:sz w:val="24"/>
          <w:szCs w:val="24"/>
        </w:rPr>
      </w:pPr>
      <w:r>
        <w:rPr>
          <w:rFonts w:ascii="Palatino Linotype" w:hAnsi="Palatino Linotype" w:cs="Palatino Linotype"/>
          <w:sz w:val="24"/>
          <w:szCs w:val="24"/>
        </w:rPr>
        <w:t>W przypadku, gdy jest wszczynane postępowanie zmierzające do ustania działalnośc</w:t>
      </w:r>
      <w:r w:rsidR="000B1602">
        <w:rPr>
          <w:rFonts w:ascii="Palatino Linotype" w:hAnsi="Palatino Linotype" w:cs="Palatino Linotype"/>
          <w:sz w:val="24"/>
          <w:szCs w:val="24"/>
        </w:rPr>
        <w:t>i MP37</w:t>
      </w:r>
      <w:r>
        <w:rPr>
          <w:rFonts w:ascii="Palatino Linotype" w:hAnsi="Palatino Linotype" w:cs="Palatino Linotype"/>
          <w:i/>
          <w:sz w:val="24"/>
          <w:szCs w:val="24"/>
        </w:rPr>
        <w:t xml:space="preserve"> </w:t>
      </w:r>
      <w:r>
        <w:rPr>
          <w:rFonts w:ascii="Palatino Linotype" w:hAnsi="Palatino Linotype" w:cs="Palatino Linotype"/>
          <w:sz w:val="24"/>
          <w:szCs w:val="24"/>
        </w:rPr>
        <w:t>lub do jej reorganizacji, prowadzącej do powstania nowej jednostki organizacyjnej</w:t>
      </w:r>
      <w:r w:rsidR="000B1602">
        <w:rPr>
          <w:rFonts w:ascii="Palatino Linotype" w:hAnsi="Palatino Linotype" w:cs="Palatino Linotype"/>
          <w:sz w:val="24"/>
          <w:szCs w:val="24"/>
        </w:rPr>
        <w:t>, Dyrektor MP37</w:t>
      </w:r>
      <w:r>
        <w:rPr>
          <w:rStyle w:val="FontStyle51"/>
          <w:rFonts w:ascii="Palatino Linotype" w:hAnsi="Palatino Linotype" w:cs="Calibri"/>
          <w:i/>
          <w:sz w:val="24"/>
          <w:szCs w:val="24"/>
        </w:rPr>
        <w:t xml:space="preserve"> </w:t>
      </w:r>
      <w:r>
        <w:rPr>
          <w:rFonts w:ascii="Palatino Linotype" w:hAnsi="Palatino Linotype" w:cs="Palatino Linotype"/>
          <w:sz w:val="24"/>
          <w:szCs w:val="24"/>
        </w:rPr>
        <w:t>zawiadamia o tym fakcie dyrektora właściwego archiwum państwowego.</w:t>
      </w:r>
    </w:p>
    <w:p w:rsidR="00D22C8D" w:rsidRDefault="00D22C8D">
      <w:pPr>
        <w:numPr>
          <w:ilvl w:val="0"/>
          <w:numId w:val="31"/>
        </w:numPr>
        <w:tabs>
          <w:tab w:val="left" w:pos="426"/>
        </w:tabs>
        <w:overflowPunct w:val="0"/>
        <w:autoSpaceDE w:val="0"/>
        <w:spacing w:after="80"/>
        <w:jc w:val="both"/>
        <w:textAlignment w:val="baseline"/>
        <w:rPr>
          <w:rFonts w:ascii="Palatino Linotype" w:hAnsi="Palatino Linotype" w:cs="Palatino Linotype"/>
          <w:color w:val="000000"/>
          <w:sz w:val="24"/>
          <w:szCs w:val="24"/>
        </w:rPr>
      </w:pPr>
      <w:r>
        <w:rPr>
          <w:rFonts w:ascii="Palatino Linotype" w:hAnsi="Palatino Linotype" w:cs="Palatino Linotype"/>
          <w:color w:val="000000"/>
          <w:sz w:val="24"/>
          <w:szCs w:val="24"/>
        </w:rPr>
        <w:t>W przypadku przejęcia całości lub części zadań zreorganizowanej komórki organizacyjnej przez nową komórkę organizacyjną, kierownik komórki zreorganizowanej</w:t>
      </w:r>
      <w:r>
        <w:rPr>
          <w:rFonts w:ascii="Palatino Linotype" w:hAnsi="Palatino Linotype" w:cs="Palatino Linotype"/>
          <w:sz w:val="24"/>
          <w:szCs w:val="24"/>
        </w:rPr>
        <w:t xml:space="preserve"> </w:t>
      </w:r>
      <w:r>
        <w:rPr>
          <w:rFonts w:ascii="Palatino Linotype" w:hAnsi="Palatino Linotype" w:cs="Palatino Linotype"/>
          <w:color w:val="000000"/>
          <w:sz w:val="24"/>
          <w:szCs w:val="24"/>
        </w:rPr>
        <w:t>przekazuje protokolarnie kierownikowi nowej komórki organizacyjnej dokumentację spraw niezakończonych. Protokół otrzymuje do wiadomości archiwista.</w:t>
      </w:r>
    </w:p>
    <w:p w:rsidR="00D22C8D" w:rsidRDefault="00D22C8D">
      <w:pPr>
        <w:numPr>
          <w:ilvl w:val="0"/>
          <w:numId w:val="31"/>
        </w:numPr>
        <w:tabs>
          <w:tab w:val="left" w:pos="426"/>
        </w:tabs>
        <w:overflowPunct w:val="0"/>
        <w:autoSpaceDE w:val="0"/>
        <w:spacing w:after="80"/>
        <w:jc w:val="both"/>
        <w:textAlignment w:val="baseline"/>
        <w:rPr>
          <w:rFonts w:ascii="Palatino Linotype" w:hAnsi="Palatino Linotype" w:cs="Palatino Linotype"/>
          <w:color w:val="000000"/>
          <w:sz w:val="24"/>
          <w:szCs w:val="24"/>
        </w:rPr>
      </w:pPr>
      <w:r>
        <w:rPr>
          <w:rFonts w:ascii="Palatino Linotype" w:hAnsi="Palatino Linotype" w:cs="Palatino Linotype"/>
          <w:color w:val="000000"/>
          <w:sz w:val="24"/>
          <w:szCs w:val="24"/>
        </w:rPr>
        <w:t xml:space="preserve">Komórka organizacyjna, która przejęła dokumentację spraw niezakończonych, dokonuje ich ponownego zarejestrowania, zgodnie z </w:t>
      </w:r>
      <w:r>
        <w:rPr>
          <w:rFonts w:ascii="Palatino Linotype" w:hAnsi="Palatino Linotype" w:cs="Arial"/>
          <w:color w:val="000000"/>
          <w:sz w:val="24"/>
          <w:szCs w:val="24"/>
        </w:rPr>
        <w:t>§</w:t>
      </w:r>
      <w:r>
        <w:rPr>
          <w:rFonts w:ascii="Palatino Linotype" w:hAnsi="Palatino Linotype" w:cs="Palatino Linotype"/>
          <w:color w:val="000000"/>
          <w:sz w:val="24"/>
          <w:szCs w:val="24"/>
        </w:rPr>
        <w:t xml:space="preserve"> 28 ust. 3 instrukcji.</w:t>
      </w:r>
    </w:p>
    <w:p w:rsidR="00D22C8D" w:rsidRDefault="00D22C8D">
      <w:pPr>
        <w:numPr>
          <w:ilvl w:val="0"/>
          <w:numId w:val="31"/>
        </w:numPr>
        <w:overflowPunct w:val="0"/>
        <w:autoSpaceDE w:val="0"/>
        <w:spacing w:after="80"/>
        <w:jc w:val="both"/>
        <w:textAlignment w:val="baseline"/>
        <w:rPr>
          <w:rFonts w:ascii="Palatino Linotype" w:hAnsi="Palatino Linotype" w:cs="Palatino Linotype"/>
          <w:sz w:val="24"/>
          <w:szCs w:val="24"/>
        </w:rPr>
      </w:pPr>
      <w:r>
        <w:rPr>
          <w:rFonts w:ascii="Palatino Linotype" w:hAnsi="Palatino Linotype" w:cs="Palatino Linotype"/>
          <w:color w:val="000000"/>
          <w:sz w:val="24"/>
          <w:szCs w:val="24"/>
        </w:rPr>
        <w:t>Pozostała dokumentacja przekazywana jest niezwłocznie do składnicy akt, w trybie i na warunkach o których mowa w § 39-43 instrukcji.</w:t>
      </w:r>
    </w:p>
    <w:p w:rsidR="00D22C8D" w:rsidRDefault="00D22C8D">
      <w:pPr>
        <w:autoSpaceDE w:val="0"/>
        <w:rPr>
          <w:rFonts w:ascii="Palatino Linotype" w:hAnsi="Palatino Linotype" w:cs="Palatino Linotype"/>
          <w:sz w:val="24"/>
          <w:szCs w:val="24"/>
        </w:rPr>
      </w:pPr>
    </w:p>
    <w:p w:rsidR="00D22C8D" w:rsidRDefault="00D22C8D"/>
    <w:sectPr w:rsidR="00D22C8D">
      <w:headerReference w:type="default" r:id="rId7"/>
      <w:footerReference w:type="even" r:id="rId8"/>
      <w:footerReference w:type="default" r:id="rId9"/>
      <w:headerReference w:type="first" r:id="rId10"/>
      <w:footerReference w:type="first" r:id="rId11"/>
      <w:pgSz w:w="11906" w:h="16838"/>
      <w:pgMar w:top="1418" w:right="1418" w:bottom="1418" w:left="1418" w:header="709" w:footer="70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83F" w:rsidRDefault="0096783F">
      <w:r>
        <w:separator/>
      </w:r>
    </w:p>
  </w:endnote>
  <w:endnote w:type="continuationSeparator" w:id="0">
    <w:p w:rsidR="0096783F" w:rsidRDefault="009678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8D" w:rsidRDefault="00D22C8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8D" w:rsidRDefault="00D22C8D">
    <w:pPr>
      <w:pStyle w:val="Stopka"/>
      <w:ind w:right="360"/>
    </w:pPr>
    <w:r>
      <w:pict>
        <v:shapetype id="_x0000_t202" coordsize="21600,21600" o:spt="202" path="m,l,21600r21600,l21600,xe">
          <v:stroke joinstyle="miter"/>
          <v:path gradientshapeok="t" o:connecttype="rect"/>
        </v:shapetype>
        <v:shape id="_x0000_s1025" type="#_x0000_t202" style="position:absolute;margin-left:514.35pt;margin-top:.05pt;width:10pt;height:11.5pt;z-index:251657216;mso-wrap-distance-left:0;mso-wrap-distance-right:0;mso-position-horizontal-relative:page" stroked="f">
          <v:fill opacity="0" color2="black"/>
          <v:textbox inset="0,0,0,0">
            <w:txbxContent>
              <w:p w:rsidR="00D22C8D" w:rsidRDefault="00D22C8D">
                <w:pPr>
                  <w:pStyle w:val="Stopka"/>
                </w:pPr>
                <w:r>
                  <w:rPr>
                    <w:rStyle w:val="Numerstrony"/>
                  </w:rPr>
                  <w:fldChar w:fldCharType="begin"/>
                </w:r>
                <w:r>
                  <w:rPr>
                    <w:rStyle w:val="Numerstrony"/>
                  </w:rPr>
                  <w:instrText xml:space="preserve"> PAGE </w:instrText>
                </w:r>
                <w:r>
                  <w:rPr>
                    <w:rStyle w:val="Numerstrony"/>
                  </w:rPr>
                  <w:fldChar w:fldCharType="separate"/>
                </w:r>
                <w:r w:rsidR="005E0EC3">
                  <w:rPr>
                    <w:rStyle w:val="Numerstrony"/>
                    <w:noProof/>
                  </w:rPr>
                  <w:t>24</w:t>
                </w:r>
                <w:r>
                  <w:rPr>
                    <w:rStyle w:val="Numerstrony"/>
                  </w:rPr>
                  <w:fldChar w:fldCharType="end"/>
                </w:r>
              </w:p>
            </w:txbxContent>
          </v:textbox>
          <w10:wrap type="square" side="largest"/>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8D" w:rsidRDefault="00D22C8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83F" w:rsidRDefault="0096783F">
      <w:r>
        <w:separator/>
      </w:r>
    </w:p>
  </w:footnote>
  <w:footnote w:type="continuationSeparator" w:id="0">
    <w:p w:rsidR="0096783F" w:rsidRDefault="009678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8D" w:rsidRDefault="00D22C8D">
    <w:pPr>
      <w:pStyle w:val="Nagwek"/>
    </w:pPr>
    <w:r>
      <w:pict>
        <v:shapetype id="_x0000_t202" coordsize="21600,21600" o:spt="202" path="m,l,21600r21600,l21600,xe">
          <v:stroke joinstyle="miter"/>
          <v:path gradientshapeok="t" o:connecttype="rect"/>
        </v:shapetype>
        <v:shape id="_x0000_s1026" type="#_x0000_t202" style="position:absolute;margin-left:523.25pt;margin-top:.05pt;width:1.1pt;height:11.5pt;z-index:251658240;mso-wrap-distance-left:0;mso-wrap-distance-right:0;mso-position-horizontal-relative:page" stroked="f">
          <v:fill opacity="0" color2="black"/>
          <v:textbox inset="0,0,0,0">
            <w:txbxContent>
              <w:p w:rsidR="00D22C8D" w:rsidRDefault="00D22C8D">
                <w:pPr>
                  <w:pStyle w:val="Nagwek"/>
                </w:pPr>
              </w:p>
            </w:txbxContent>
          </v:textbox>
          <w10:wrap type="square" side="larges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8D" w:rsidRDefault="00D22C8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0"/>
        </w:tabs>
        <w:ind w:left="540" w:hanging="360"/>
      </w:pPr>
      <w:rPr>
        <w:rFonts w:ascii="Calibri" w:hAnsi="Calibri"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lowerRoman"/>
      <w:lvlText w:val="%3."/>
      <w:lvlJc w:val="left"/>
      <w:pPr>
        <w:tabs>
          <w:tab w:val="num" w:pos="0"/>
        </w:tabs>
        <w:ind w:left="2160" w:hanging="180"/>
      </w:pPr>
      <w:rPr>
        <w:rFonts w:ascii="Palatino Linotype" w:hAnsi="Palatino Linotype" w:cs="Times New Roman"/>
        <w:sz w:val="24"/>
        <w:szCs w:val="24"/>
      </w:rPr>
    </w:lvl>
    <w:lvl w:ilvl="3">
      <w:start w:val="1"/>
      <w:numFmt w:val="decimal"/>
      <w:lvlText w:val="%4."/>
      <w:lvlJc w:val="left"/>
      <w:pPr>
        <w:tabs>
          <w:tab w:val="num" w:pos="0"/>
        </w:tabs>
        <w:ind w:left="2880" w:hanging="360"/>
      </w:pPr>
      <w:rPr>
        <w:rFonts w:ascii="Palatino Linotype" w:hAnsi="Palatino Linotype" w:cs="Times New Roman"/>
        <w:sz w:val="24"/>
        <w:szCs w:val="24"/>
      </w:rPr>
    </w:lvl>
    <w:lvl w:ilvl="4">
      <w:start w:val="1"/>
      <w:numFmt w:val="lowerLetter"/>
      <w:lvlText w:val="%5."/>
      <w:lvlJc w:val="left"/>
      <w:pPr>
        <w:tabs>
          <w:tab w:val="num" w:pos="0"/>
        </w:tabs>
        <w:ind w:left="3600" w:hanging="360"/>
      </w:pPr>
      <w:rPr>
        <w:rFonts w:ascii="Palatino Linotype" w:hAnsi="Palatino Linotype" w:cs="Times New Roman"/>
        <w:sz w:val="24"/>
        <w:szCs w:val="24"/>
      </w:rPr>
    </w:lvl>
    <w:lvl w:ilvl="5">
      <w:start w:val="1"/>
      <w:numFmt w:val="lowerRoman"/>
      <w:lvlText w:val="%6."/>
      <w:lvlJc w:val="left"/>
      <w:pPr>
        <w:tabs>
          <w:tab w:val="num" w:pos="0"/>
        </w:tabs>
        <w:ind w:left="4320" w:hanging="180"/>
      </w:pPr>
      <w:rPr>
        <w:rFonts w:ascii="Palatino Linotype" w:hAnsi="Palatino Linotype" w:cs="Times New Roman"/>
        <w:sz w:val="24"/>
        <w:szCs w:val="24"/>
      </w:rPr>
    </w:lvl>
    <w:lvl w:ilvl="6">
      <w:start w:val="1"/>
      <w:numFmt w:val="decimal"/>
      <w:lvlText w:val="%7."/>
      <w:lvlJc w:val="left"/>
      <w:pPr>
        <w:tabs>
          <w:tab w:val="num" w:pos="0"/>
        </w:tabs>
        <w:ind w:left="5040" w:hanging="360"/>
      </w:pPr>
      <w:rPr>
        <w:rFonts w:ascii="Palatino Linotype" w:hAnsi="Palatino Linotype" w:cs="Times New Roman"/>
        <w:sz w:val="24"/>
        <w:szCs w:val="24"/>
      </w:rPr>
    </w:lvl>
    <w:lvl w:ilvl="7">
      <w:start w:val="1"/>
      <w:numFmt w:val="lowerLetter"/>
      <w:lvlText w:val="%8."/>
      <w:lvlJc w:val="left"/>
      <w:pPr>
        <w:tabs>
          <w:tab w:val="num" w:pos="0"/>
        </w:tabs>
        <w:ind w:left="5760" w:hanging="360"/>
      </w:pPr>
      <w:rPr>
        <w:rFonts w:ascii="Palatino Linotype" w:hAnsi="Palatino Linotype" w:cs="Times New Roman"/>
        <w:sz w:val="24"/>
        <w:szCs w:val="24"/>
      </w:rPr>
    </w:lvl>
    <w:lvl w:ilvl="8">
      <w:start w:val="1"/>
      <w:numFmt w:val="lowerRoman"/>
      <w:lvlText w:val="%9."/>
      <w:lvlJc w:val="left"/>
      <w:pPr>
        <w:tabs>
          <w:tab w:val="num" w:pos="0"/>
        </w:tabs>
        <w:ind w:left="6480" w:hanging="180"/>
      </w:pPr>
      <w:rPr>
        <w:rFonts w:ascii="Palatino Linotype" w:hAnsi="Palatino Linotype" w:cs="Times New Roman"/>
        <w:sz w:val="24"/>
        <w:szCs w:val="24"/>
      </w:rPr>
    </w:lvl>
  </w:abstractNum>
  <w:abstractNum w:abstractNumId="2">
    <w:nsid w:val="00000003"/>
    <w:multiLevelType w:val="singleLevel"/>
    <w:tmpl w:val="00000003"/>
    <w:name w:val="WW8Num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
    <w:nsid w:val="00000004"/>
    <w:multiLevelType w:val="singleLevel"/>
    <w:tmpl w:val="00000004"/>
    <w:name w:val="WW8Num6"/>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4">
    <w:nsid w:val="00000005"/>
    <w:multiLevelType w:val="singleLevel"/>
    <w:tmpl w:val="00000005"/>
    <w:name w:val="WW8Num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
    <w:nsid w:val="00000006"/>
    <w:multiLevelType w:val="singleLevel"/>
    <w:tmpl w:val="00000006"/>
    <w:name w:val="WW8Num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
    <w:nsid w:val="00000007"/>
    <w:multiLevelType w:val="singleLevel"/>
    <w:tmpl w:val="00000007"/>
    <w:name w:val="WW8Num9"/>
    <w:lvl w:ilvl="0">
      <w:start w:val="1"/>
      <w:numFmt w:val="decimal"/>
      <w:lvlText w:val="%1)"/>
      <w:lvlJc w:val="left"/>
      <w:pPr>
        <w:tabs>
          <w:tab w:val="num" w:pos="0"/>
        </w:tabs>
        <w:ind w:left="1004" w:hanging="360"/>
      </w:pPr>
    </w:lvl>
  </w:abstractNum>
  <w:abstractNum w:abstractNumId="7">
    <w:nsid w:val="00000008"/>
    <w:multiLevelType w:val="singleLevel"/>
    <w:tmpl w:val="00000008"/>
    <w:name w:val="WW8Num10"/>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
    <w:nsid w:val="00000009"/>
    <w:multiLevelType w:val="singleLevel"/>
    <w:tmpl w:val="00000009"/>
    <w:name w:val="WW8Num11"/>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9">
    <w:nsid w:val="0000000A"/>
    <w:multiLevelType w:val="singleLevel"/>
    <w:tmpl w:val="0000000A"/>
    <w:name w:val="WW8Num12"/>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0">
    <w:nsid w:val="0000000B"/>
    <w:multiLevelType w:val="singleLevel"/>
    <w:tmpl w:val="0000000B"/>
    <w:name w:val="WW8Num13"/>
    <w:lvl w:ilvl="0">
      <w:start w:val="1"/>
      <w:numFmt w:val="decimal"/>
      <w:lvlText w:val="%1)"/>
      <w:lvlJc w:val="left"/>
      <w:pPr>
        <w:tabs>
          <w:tab w:val="num" w:pos="0"/>
        </w:tabs>
        <w:ind w:left="720" w:hanging="360"/>
      </w:pPr>
    </w:lvl>
  </w:abstractNum>
  <w:abstractNum w:abstractNumId="11">
    <w:nsid w:val="0000000C"/>
    <w:multiLevelType w:val="singleLevel"/>
    <w:tmpl w:val="0000000C"/>
    <w:name w:val="WW8Num14"/>
    <w:lvl w:ilvl="0">
      <w:start w:val="1"/>
      <w:numFmt w:val="decimal"/>
      <w:lvlText w:val="%1)"/>
      <w:lvlJc w:val="left"/>
      <w:pPr>
        <w:tabs>
          <w:tab w:val="num" w:pos="0"/>
        </w:tabs>
        <w:ind w:left="502" w:hanging="360"/>
      </w:pPr>
      <w:rPr>
        <w:rFonts w:ascii="Palatino Linotype" w:hAnsi="Palatino Linotype" w:cs="Palatino Linotype"/>
        <w:sz w:val="24"/>
        <w:szCs w:val="24"/>
      </w:rPr>
    </w:lvl>
  </w:abstractNum>
  <w:abstractNum w:abstractNumId="12">
    <w:nsid w:val="0000000D"/>
    <w:multiLevelType w:val="multilevel"/>
    <w:tmpl w:val="0000000D"/>
    <w:name w:val="WW8Num15"/>
    <w:lvl w:ilvl="0">
      <w:start w:val="1"/>
      <w:numFmt w:val="upperRoman"/>
      <w:suff w:val="space"/>
      <w:lvlText w:val="Rozdział %1."/>
      <w:lvlJc w:val="center"/>
      <w:pPr>
        <w:tabs>
          <w:tab w:val="num" w:pos="0"/>
        </w:tabs>
        <w:ind w:left="288" w:firstLine="288"/>
      </w:pPr>
      <w:rPr>
        <w:rFonts w:hint="default"/>
        <w:b/>
        <w:i w:val="0"/>
      </w:rPr>
    </w:lvl>
    <w:lvl w:ilvl="1">
      <w:start w:val="1"/>
      <w:numFmt w:val="decimal"/>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142"/>
        </w:tabs>
        <w:ind w:left="539"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13">
    <w:nsid w:val="0000000E"/>
    <w:multiLevelType w:val="singleLevel"/>
    <w:tmpl w:val="0000000E"/>
    <w:name w:val="WW8Num16"/>
    <w:lvl w:ilvl="0">
      <w:start w:val="1"/>
      <w:numFmt w:val="decimal"/>
      <w:lvlText w:val="%1)"/>
      <w:lvlJc w:val="left"/>
      <w:pPr>
        <w:tabs>
          <w:tab w:val="num" w:pos="0"/>
        </w:tabs>
        <w:ind w:left="1003" w:hanging="360"/>
      </w:pPr>
      <w:rPr>
        <w:rFonts w:ascii="Palatino Linotype" w:hAnsi="Palatino Linotype" w:cs="Palatino Linotype"/>
        <w:sz w:val="24"/>
        <w:szCs w:val="24"/>
      </w:rPr>
    </w:lvl>
  </w:abstractNum>
  <w:abstractNum w:abstractNumId="14">
    <w:nsid w:val="0000000F"/>
    <w:multiLevelType w:val="singleLevel"/>
    <w:tmpl w:val="0000000F"/>
    <w:name w:val="WW8Num17"/>
    <w:lvl w:ilvl="0">
      <w:start w:val="1"/>
      <w:numFmt w:val="decimal"/>
      <w:lvlText w:val="%1)"/>
      <w:lvlJc w:val="left"/>
      <w:pPr>
        <w:tabs>
          <w:tab w:val="num" w:pos="0"/>
        </w:tabs>
        <w:ind w:left="1080" w:hanging="360"/>
      </w:pPr>
      <w:rPr>
        <w:rFonts w:ascii="Palatino Linotype" w:hAnsi="Palatino Linotype" w:cs="Calibri"/>
        <w:sz w:val="24"/>
        <w:szCs w:val="24"/>
      </w:rPr>
    </w:lvl>
  </w:abstractNum>
  <w:abstractNum w:abstractNumId="15">
    <w:nsid w:val="00000010"/>
    <w:multiLevelType w:val="singleLevel"/>
    <w:tmpl w:val="00000010"/>
    <w:name w:val="WW8Num18"/>
    <w:lvl w:ilvl="0">
      <w:start w:val="1"/>
      <w:numFmt w:val="decimal"/>
      <w:lvlText w:val="%1)"/>
      <w:lvlJc w:val="left"/>
      <w:pPr>
        <w:tabs>
          <w:tab w:val="num" w:pos="0"/>
        </w:tabs>
        <w:ind w:left="1004" w:hanging="360"/>
      </w:pPr>
    </w:lvl>
  </w:abstractNum>
  <w:abstractNum w:abstractNumId="16">
    <w:nsid w:val="00000011"/>
    <w:multiLevelType w:val="singleLevel"/>
    <w:tmpl w:val="00000011"/>
    <w:name w:val="WW8Num1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7">
    <w:nsid w:val="00000012"/>
    <w:multiLevelType w:val="singleLevel"/>
    <w:tmpl w:val="00000012"/>
    <w:name w:val="WW8Num20"/>
    <w:lvl w:ilvl="0">
      <w:start w:val="1"/>
      <w:numFmt w:val="decimal"/>
      <w:lvlText w:val="%1."/>
      <w:lvlJc w:val="left"/>
      <w:pPr>
        <w:tabs>
          <w:tab w:val="num" w:pos="0"/>
        </w:tabs>
        <w:ind w:left="786" w:hanging="360"/>
      </w:pPr>
      <w:rPr>
        <w:rFonts w:ascii="Palatino Linotype" w:hAnsi="Palatino Linotype" w:cs="Arial"/>
        <w:b w:val="0"/>
        <w:color w:val="000000"/>
        <w:sz w:val="24"/>
        <w:szCs w:val="24"/>
      </w:rPr>
    </w:lvl>
  </w:abstractNum>
  <w:abstractNum w:abstractNumId="18">
    <w:nsid w:val="00000013"/>
    <w:multiLevelType w:val="singleLevel"/>
    <w:tmpl w:val="00000013"/>
    <w:name w:val="WW8Num21"/>
    <w:lvl w:ilvl="0">
      <w:start w:val="1"/>
      <w:numFmt w:val="lowerLetter"/>
      <w:lvlText w:val="%1)"/>
      <w:lvlJc w:val="left"/>
      <w:pPr>
        <w:tabs>
          <w:tab w:val="num" w:pos="0"/>
        </w:tabs>
        <w:ind w:left="720" w:hanging="360"/>
      </w:pPr>
      <w:rPr>
        <w:rFonts w:ascii="Palatino Linotype" w:hAnsi="Palatino Linotype" w:cs="Palatino Linotype"/>
        <w:sz w:val="24"/>
        <w:szCs w:val="24"/>
      </w:rPr>
    </w:lvl>
  </w:abstractNum>
  <w:abstractNum w:abstractNumId="19">
    <w:nsid w:val="00000014"/>
    <w:multiLevelType w:val="singleLevel"/>
    <w:tmpl w:val="00000014"/>
    <w:name w:val="WW8Num22"/>
    <w:lvl w:ilvl="0">
      <w:start w:val="1"/>
      <w:numFmt w:val="decimal"/>
      <w:lvlText w:val="%1)"/>
      <w:lvlJc w:val="left"/>
      <w:pPr>
        <w:tabs>
          <w:tab w:val="num" w:pos="1440"/>
        </w:tabs>
        <w:ind w:left="1440" w:hanging="360"/>
      </w:pPr>
      <w:rPr>
        <w:rFonts w:ascii="Palatino Linotype" w:hAnsi="Palatino Linotype" w:cs="TimesNewRoman"/>
        <w:sz w:val="24"/>
        <w:szCs w:val="24"/>
      </w:rPr>
    </w:lvl>
  </w:abstractNum>
  <w:abstractNum w:abstractNumId="20">
    <w:nsid w:val="00000015"/>
    <w:multiLevelType w:val="singleLevel"/>
    <w:tmpl w:val="00000015"/>
    <w:name w:val="WW8Num23"/>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21">
    <w:nsid w:val="00000016"/>
    <w:multiLevelType w:val="singleLevel"/>
    <w:tmpl w:val="00000016"/>
    <w:name w:val="WW8Num24"/>
    <w:lvl w:ilvl="0">
      <w:start w:val="1"/>
      <w:numFmt w:val="decimal"/>
      <w:lvlText w:val="%1."/>
      <w:lvlJc w:val="left"/>
      <w:pPr>
        <w:tabs>
          <w:tab w:val="num" w:pos="644"/>
        </w:tabs>
        <w:ind w:left="644" w:hanging="360"/>
      </w:pPr>
      <w:rPr>
        <w:rFonts w:ascii="Palatino Linotype" w:hAnsi="Palatino Linotype" w:cs="Palatino Linotype"/>
        <w:b w:val="0"/>
        <w:sz w:val="24"/>
        <w:szCs w:val="24"/>
      </w:rPr>
    </w:lvl>
  </w:abstractNum>
  <w:abstractNum w:abstractNumId="22">
    <w:nsid w:val="00000017"/>
    <w:multiLevelType w:val="singleLevel"/>
    <w:tmpl w:val="00000017"/>
    <w:name w:val="WW8Num2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3">
    <w:nsid w:val="00000018"/>
    <w:multiLevelType w:val="singleLevel"/>
    <w:tmpl w:val="00000018"/>
    <w:name w:val="WW8Num26"/>
    <w:lvl w:ilvl="0">
      <w:start w:val="1"/>
      <w:numFmt w:val="decimal"/>
      <w:lvlText w:val="%1)"/>
      <w:lvlJc w:val="left"/>
      <w:pPr>
        <w:tabs>
          <w:tab w:val="num" w:pos="1440"/>
        </w:tabs>
        <w:ind w:left="1440" w:hanging="360"/>
      </w:pPr>
    </w:lvl>
  </w:abstractNum>
  <w:abstractNum w:abstractNumId="24">
    <w:nsid w:val="00000019"/>
    <w:multiLevelType w:val="singleLevel"/>
    <w:tmpl w:val="00000019"/>
    <w:name w:val="WW8Num27"/>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5">
    <w:nsid w:val="0000001A"/>
    <w:multiLevelType w:val="multilevel"/>
    <w:tmpl w:val="A198B00A"/>
    <w:name w:val="WW8Num28"/>
    <w:lvl w:ilvl="0">
      <w:start w:val="1"/>
      <w:numFmt w:val="decimal"/>
      <w:lvlText w:val="%1."/>
      <w:lvlJc w:val="left"/>
      <w:pPr>
        <w:tabs>
          <w:tab w:val="num" w:pos="0"/>
        </w:tabs>
        <w:ind w:left="360" w:hanging="360"/>
      </w:pPr>
      <w:rPr>
        <w:rFonts w:ascii="Palatino Linotype" w:hAnsi="Palatino Linotype" w:cs="Times New Roman" w:hint="default"/>
        <w:b w:val="0"/>
        <w:i w:val="0"/>
        <w:sz w:val="24"/>
        <w:szCs w:val="24"/>
      </w:rPr>
    </w:lvl>
    <w:lvl w:ilvl="1">
      <w:start w:val="1"/>
      <w:numFmt w:val="decimal"/>
      <w:lvlText w:val="%2)"/>
      <w:lvlJc w:val="left"/>
      <w:pPr>
        <w:tabs>
          <w:tab w:val="num" w:pos="0"/>
        </w:tabs>
        <w:ind w:left="1425" w:hanging="705"/>
      </w:pPr>
      <w:rPr>
        <w:rFonts w:ascii="Palatino Linotype" w:hAnsi="Palatino Linotype" w:cs="Times New Roman" w:hint="default"/>
        <w:sz w:val="24"/>
        <w:szCs w:val="24"/>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6">
    <w:nsid w:val="0000001B"/>
    <w:multiLevelType w:val="singleLevel"/>
    <w:tmpl w:val="0000001B"/>
    <w:name w:val="WW8Num29"/>
    <w:lvl w:ilvl="0">
      <w:start w:val="1"/>
      <w:numFmt w:val="decimal"/>
      <w:lvlText w:val="%1)"/>
      <w:lvlJc w:val="left"/>
      <w:pPr>
        <w:tabs>
          <w:tab w:val="num" w:pos="0"/>
        </w:tabs>
        <w:ind w:left="1004" w:hanging="360"/>
      </w:pPr>
      <w:rPr>
        <w:rFonts w:ascii="Palatino Linotype" w:hAnsi="Palatino Linotype" w:cs="Palatino Linotype"/>
        <w:caps/>
        <w:sz w:val="24"/>
        <w:szCs w:val="24"/>
      </w:rPr>
    </w:lvl>
  </w:abstractNum>
  <w:abstractNum w:abstractNumId="27">
    <w:nsid w:val="0000001C"/>
    <w:multiLevelType w:val="singleLevel"/>
    <w:tmpl w:val="0000001C"/>
    <w:name w:val="WW8Num30"/>
    <w:lvl w:ilvl="0">
      <w:start w:val="1"/>
      <w:numFmt w:val="decimal"/>
      <w:lvlText w:val="%1."/>
      <w:lvlJc w:val="left"/>
      <w:pPr>
        <w:tabs>
          <w:tab w:val="num" w:pos="0"/>
        </w:tabs>
        <w:ind w:left="720" w:hanging="360"/>
      </w:pPr>
    </w:lvl>
  </w:abstractNum>
  <w:abstractNum w:abstractNumId="28">
    <w:nsid w:val="0000001D"/>
    <w:multiLevelType w:val="singleLevel"/>
    <w:tmpl w:val="0000001D"/>
    <w:name w:val="WW8Num31"/>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29">
    <w:nsid w:val="0000001E"/>
    <w:multiLevelType w:val="singleLevel"/>
    <w:tmpl w:val="0000001E"/>
    <w:name w:val="WW8Num32"/>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0">
    <w:nsid w:val="0000001F"/>
    <w:multiLevelType w:val="singleLevel"/>
    <w:tmpl w:val="0000001F"/>
    <w:name w:val="WW8Num33"/>
    <w:lvl w:ilvl="0">
      <w:start w:val="1"/>
      <w:numFmt w:val="decimal"/>
      <w:lvlText w:val="%1."/>
      <w:lvlJc w:val="left"/>
      <w:pPr>
        <w:tabs>
          <w:tab w:val="num" w:pos="0"/>
        </w:tabs>
        <w:ind w:left="360" w:hanging="360"/>
      </w:pPr>
      <w:rPr>
        <w:rFonts w:ascii="Palatino Linotype" w:hAnsi="Palatino Linotype" w:cs="Times New Roman" w:hint="default"/>
        <w:i w:val="0"/>
        <w:color w:val="000000"/>
        <w:sz w:val="24"/>
        <w:szCs w:val="24"/>
      </w:rPr>
    </w:lvl>
  </w:abstractNum>
  <w:abstractNum w:abstractNumId="31">
    <w:nsid w:val="00000020"/>
    <w:multiLevelType w:val="singleLevel"/>
    <w:tmpl w:val="00000020"/>
    <w:name w:val="WW8Num34"/>
    <w:lvl w:ilvl="0">
      <w:start w:val="1"/>
      <w:numFmt w:val="bullet"/>
      <w:lvlText w:val=""/>
      <w:lvlJc w:val="left"/>
      <w:pPr>
        <w:tabs>
          <w:tab w:val="num" w:pos="360"/>
        </w:tabs>
        <w:ind w:left="360" w:hanging="360"/>
      </w:pPr>
      <w:rPr>
        <w:rFonts w:ascii="Symbol" w:hAnsi="Symbol" w:cs="Symbol" w:hint="default"/>
      </w:rPr>
    </w:lvl>
  </w:abstractNum>
  <w:abstractNum w:abstractNumId="32">
    <w:nsid w:val="00000021"/>
    <w:multiLevelType w:val="singleLevel"/>
    <w:tmpl w:val="00000021"/>
    <w:name w:val="WW8Num35"/>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3">
    <w:nsid w:val="00000022"/>
    <w:multiLevelType w:val="singleLevel"/>
    <w:tmpl w:val="00000022"/>
    <w:name w:val="WW8Num36"/>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4">
    <w:nsid w:val="00000023"/>
    <w:multiLevelType w:val="singleLevel"/>
    <w:tmpl w:val="00000023"/>
    <w:name w:val="WW8Num37"/>
    <w:lvl w:ilvl="0">
      <w:start w:val="1"/>
      <w:numFmt w:val="decimal"/>
      <w:lvlText w:val="%1)"/>
      <w:lvlJc w:val="left"/>
      <w:pPr>
        <w:tabs>
          <w:tab w:val="num" w:pos="0"/>
        </w:tabs>
        <w:ind w:left="1004" w:hanging="360"/>
      </w:pPr>
      <w:rPr>
        <w:caps/>
      </w:rPr>
    </w:lvl>
  </w:abstractNum>
  <w:abstractNum w:abstractNumId="35">
    <w:nsid w:val="00000024"/>
    <w:multiLevelType w:val="singleLevel"/>
    <w:tmpl w:val="00000024"/>
    <w:name w:val="WW8Num3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36">
    <w:nsid w:val="00000025"/>
    <w:multiLevelType w:val="singleLevel"/>
    <w:tmpl w:val="00000025"/>
    <w:name w:val="WW8Num39"/>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7">
    <w:nsid w:val="00000026"/>
    <w:multiLevelType w:val="singleLevel"/>
    <w:tmpl w:val="00000026"/>
    <w:name w:val="WW8Num40"/>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38">
    <w:nsid w:val="00000027"/>
    <w:multiLevelType w:val="singleLevel"/>
    <w:tmpl w:val="00000027"/>
    <w:name w:val="WW8Num41"/>
    <w:lvl w:ilvl="0">
      <w:start w:val="1"/>
      <w:numFmt w:val="decimal"/>
      <w:lvlText w:val="%1)"/>
      <w:lvlJc w:val="left"/>
      <w:pPr>
        <w:tabs>
          <w:tab w:val="num" w:pos="0"/>
        </w:tabs>
        <w:ind w:left="1003" w:hanging="360"/>
      </w:pPr>
    </w:lvl>
  </w:abstractNum>
  <w:abstractNum w:abstractNumId="39">
    <w:nsid w:val="00000028"/>
    <w:multiLevelType w:val="singleLevel"/>
    <w:tmpl w:val="00000028"/>
    <w:name w:val="WW8Num42"/>
    <w:lvl w:ilvl="0">
      <w:start w:val="1"/>
      <w:numFmt w:val="lowerLetter"/>
      <w:lvlText w:val="%1)"/>
      <w:lvlJc w:val="left"/>
      <w:pPr>
        <w:tabs>
          <w:tab w:val="num" w:pos="1077"/>
        </w:tabs>
        <w:ind w:left="1077" w:hanging="360"/>
      </w:pPr>
      <w:rPr>
        <w:rFonts w:ascii="Palatino Linotype" w:hAnsi="Palatino Linotype" w:cs="Palatino Linotype"/>
        <w:sz w:val="24"/>
        <w:szCs w:val="24"/>
      </w:rPr>
    </w:lvl>
  </w:abstractNum>
  <w:abstractNum w:abstractNumId="40">
    <w:nsid w:val="00000029"/>
    <w:multiLevelType w:val="singleLevel"/>
    <w:tmpl w:val="00000029"/>
    <w:name w:val="WW8Num43"/>
    <w:lvl w:ilvl="0">
      <w:start w:val="1"/>
      <w:numFmt w:val="lowerLetter"/>
      <w:lvlText w:val="%1)"/>
      <w:lvlJc w:val="left"/>
      <w:pPr>
        <w:tabs>
          <w:tab w:val="num" w:pos="709"/>
        </w:tabs>
        <w:ind w:left="720" w:hanging="360"/>
      </w:pPr>
      <w:rPr>
        <w:rFonts w:ascii="Palatino Linotype" w:hAnsi="Palatino Linotype" w:cs="Palatino Linotype"/>
        <w:sz w:val="24"/>
        <w:szCs w:val="24"/>
      </w:rPr>
    </w:lvl>
  </w:abstractNum>
  <w:abstractNum w:abstractNumId="41">
    <w:nsid w:val="0000002A"/>
    <w:multiLevelType w:val="singleLevel"/>
    <w:tmpl w:val="0000002A"/>
    <w:name w:val="WW8Num4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2">
    <w:nsid w:val="0000002B"/>
    <w:multiLevelType w:val="singleLevel"/>
    <w:tmpl w:val="0000002B"/>
    <w:name w:val="WW8Num4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3">
    <w:nsid w:val="0000002C"/>
    <w:multiLevelType w:val="singleLevel"/>
    <w:tmpl w:val="0000002C"/>
    <w:name w:val="WW8Num46"/>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44">
    <w:nsid w:val="0000002D"/>
    <w:multiLevelType w:val="singleLevel"/>
    <w:tmpl w:val="0000002D"/>
    <w:name w:val="WW8Num4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5">
    <w:nsid w:val="0000002E"/>
    <w:multiLevelType w:val="singleLevel"/>
    <w:tmpl w:val="0000002E"/>
    <w:name w:val="WW8Num48"/>
    <w:lvl w:ilvl="0">
      <w:start w:val="1"/>
      <w:numFmt w:val="decimal"/>
      <w:lvlText w:val="%1."/>
      <w:lvlJc w:val="left"/>
      <w:pPr>
        <w:tabs>
          <w:tab w:val="num" w:pos="0"/>
        </w:tabs>
        <w:ind w:left="720" w:hanging="360"/>
      </w:pPr>
      <w:rPr>
        <w:rFonts w:ascii="Palatino Linotype" w:hAnsi="Palatino Linotype" w:cs="Palatino Linotype"/>
        <w:b w:val="0"/>
        <w:caps/>
        <w:sz w:val="24"/>
        <w:szCs w:val="24"/>
      </w:rPr>
    </w:lvl>
  </w:abstractNum>
  <w:abstractNum w:abstractNumId="46">
    <w:nsid w:val="0000002F"/>
    <w:multiLevelType w:val="singleLevel"/>
    <w:tmpl w:val="0000002F"/>
    <w:name w:val="WW8Num4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47">
    <w:nsid w:val="00000030"/>
    <w:multiLevelType w:val="singleLevel"/>
    <w:tmpl w:val="00000030"/>
    <w:name w:val="WW8Num50"/>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48">
    <w:nsid w:val="00000031"/>
    <w:multiLevelType w:val="singleLevel"/>
    <w:tmpl w:val="00000031"/>
    <w:name w:val="WW8Num51"/>
    <w:lvl w:ilvl="0">
      <w:start w:val="1"/>
      <w:numFmt w:val="decimal"/>
      <w:lvlText w:val="%1)"/>
      <w:lvlJc w:val="left"/>
      <w:pPr>
        <w:tabs>
          <w:tab w:val="num" w:pos="1440"/>
        </w:tabs>
        <w:ind w:left="1440" w:hanging="360"/>
      </w:pPr>
      <w:rPr>
        <w:rFonts w:ascii="Palatino Linotype" w:hAnsi="Palatino Linotype" w:cs="TimesNewRoman"/>
        <w:sz w:val="24"/>
        <w:szCs w:val="24"/>
      </w:rPr>
    </w:lvl>
  </w:abstractNum>
  <w:abstractNum w:abstractNumId="49">
    <w:nsid w:val="00000032"/>
    <w:multiLevelType w:val="singleLevel"/>
    <w:tmpl w:val="00000032"/>
    <w:name w:val="WW8Num52"/>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0">
    <w:nsid w:val="00000033"/>
    <w:multiLevelType w:val="singleLevel"/>
    <w:tmpl w:val="00000033"/>
    <w:name w:val="WW8Num53"/>
    <w:lvl w:ilvl="0">
      <w:start w:val="1"/>
      <w:numFmt w:val="decimal"/>
      <w:lvlText w:val="%1)"/>
      <w:lvlJc w:val="left"/>
      <w:pPr>
        <w:tabs>
          <w:tab w:val="num" w:pos="0"/>
        </w:tabs>
        <w:ind w:left="0" w:firstLine="0"/>
      </w:pPr>
      <w:rPr>
        <w:rFonts w:ascii="Times New Roman" w:hAnsi="Times New Roman" w:cs="Times New Roman" w:hint="default"/>
        <w:b w:val="0"/>
        <w:i w:val="0"/>
        <w:sz w:val="24"/>
      </w:rPr>
    </w:lvl>
  </w:abstractNum>
  <w:abstractNum w:abstractNumId="51">
    <w:nsid w:val="00000034"/>
    <w:multiLevelType w:val="singleLevel"/>
    <w:tmpl w:val="00000034"/>
    <w:name w:val="WW8Num5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2">
    <w:nsid w:val="00000035"/>
    <w:multiLevelType w:val="singleLevel"/>
    <w:tmpl w:val="00000035"/>
    <w:name w:val="WW8Num55"/>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53">
    <w:nsid w:val="00000036"/>
    <w:multiLevelType w:val="singleLevel"/>
    <w:tmpl w:val="00000036"/>
    <w:name w:val="WW8Num56"/>
    <w:lvl w:ilvl="0">
      <w:start w:val="1"/>
      <w:numFmt w:val="decimal"/>
      <w:lvlText w:val="%1."/>
      <w:lvlJc w:val="left"/>
      <w:pPr>
        <w:tabs>
          <w:tab w:val="num" w:pos="0"/>
        </w:tabs>
        <w:ind w:left="720" w:hanging="360"/>
      </w:pPr>
    </w:lvl>
  </w:abstractNum>
  <w:abstractNum w:abstractNumId="54">
    <w:nsid w:val="00000037"/>
    <w:multiLevelType w:val="singleLevel"/>
    <w:tmpl w:val="00000037"/>
    <w:name w:val="WW8Num57"/>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55">
    <w:nsid w:val="00000038"/>
    <w:multiLevelType w:val="singleLevel"/>
    <w:tmpl w:val="00000038"/>
    <w:name w:val="WW8Num58"/>
    <w:lvl w:ilvl="0">
      <w:start w:val="1"/>
      <w:numFmt w:val="decimal"/>
      <w:lvlText w:val="%1."/>
      <w:lvlJc w:val="left"/>
      <w:pPr>
        <w:tabs>
          <w:tab w:val="num" w:pos="0"/>
        </w:tabs>
        <w:ind w:left="720" w:hanging="360"/>
      </w:pPr>
      <w:rPr>
        <w:rFonts w:ascii="Palatino Linotype" w:hAnsi="Palatino Linotype" w:cs="Palatino Linotype"/>
        <w:caps/>
        <w:sz w:val="24"/>
        <w:szCs w:val="24"/>
      </w:rPr>
    </w:lvl>
  </w:abstractNum>
  <w:abstractNum w:abstractNumId="56">
    <w:nsid w:val="00000039"/>
    <w:multiLevelType w:val="singleLevel"/>
    <w:tmpl w:val="00000039"/>
    <w:name w:val="WW8Num5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7">
    <w:nsid w:val="0000003A"/>
    <w:multiLevelType w:val="singleLevel"/>
    <w:tmpl w:val="0000003A"/>
    <w:name w:val="WW8Num60"/>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8">
    <w:nsid w:val="0000003B"/>
    <w:multiLevelType w:val="singleLevel"/>
    <w:tmpl w:val="0000003B"/>
    <w:name w:val="WW8Num61"/>
    <w:lvl w:ilvl="0">
      <w:start w:val="1"/>
      <w:numFmt w:val="decimal"/>
      <w:lvlText w:val="%1. "/>
      <w:lvlJc w:val="left"/>
      <w:pPr>
        <w:tabs>
          <w:tab w:val="num" w:pos="0"/>
        </w:tabs>
        <w:ind w:left="397" w:hanging="397"/>
      </w:pPr>
      <w:rPr>
        <w:rFonts w:ascii="Times New Roman" w:hAnsi="Times New Roman" w:cs="Times New Roman" w:hint="default"/>
        <w:b w:val="0"/>
        <w:i w:val="0"/>
        <w:sz w:val="24"/>
        <w:szCs w:val="24"/>
        <w:u w:val="none"/>
      </w:rPr>
    </w:lvl>
  </w:abstractNum>
  <w:abstractNum w:abstractNumId="59">
    <w:nsid w:val="0000003C"/>
    <w:multiLevelType w:val="singleLevel"/>
    <w:tmpl w:val="0000003C"/>
    <w:name w:val="WW8Num62"/>
    <w:lvl w:ilvl="0">
      <w:start w:val="1"/>
      <w:numFmt w:val="decimal"/>
      <w:lvlText w:val="%1)"/>
      <w:lvlJc w:val="left"/>
      <w:pPr>
        <w:tabs>
          <w:tab w:val="num" w:pos="0"/>
        </w:tabs>
        <w:ind w:left="1004" w:hanging="360"/>
      </w:pPr>
    </w:lvl>
  </w:abstractNum>
  <w:abstractNum w:abstractNumId="60">
    <w:nsid w:val="0000003D"/>
    <w:multiLevelType w:val="singleLevel"/>
    <w:tmpl w:val="0000003D"/>
    <w:name w:val="WW8Num63"/>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1">
    <w:nsid w:val="0000003E"/>
    <w:multiLevelType w:val="singleLevel"/>
    <w:tmpl w:val="0000003E"/>
    <w:name w:val="WW8Num64"/>
    <w:lvl w:ilvl="0">
      <w:start w:val="1"/>
      <w:numFmt w:val="decimal"/>
      <w:lvlText w:val="%1. "/>
      <w:lvlJc w:val="left"/>
      <w:pPr>
        <w:tabs>
          <w:tab w:val="num" w:pos="0"/>
        </w:tabs>
        <w:ind w:left="283" w:hanging="283"/>
      </w:pPr>
      <w:rPr>
        <w:rFonts w:ascii="Times New Roman" w:hAnsi="Times New Roman" w:cs="Times New Roman" w:hint="default"/>
        <w:b w:val="0"/>
        <w:i w:val="0"/>
        <w:sz w:val="24"/>
        <w:szCs w:val="24"/>
        <w:u w:val="none"/>
      </w:rPr>
    </w:lvl>
  </w:abstractNum>
  <w:abstractNum w:abstractNumId="62">
    <w:nsid w:val="0000003F"/>
    <w:multiLevelType w:val="singleLevel"/>
    <w:tmpl w:val="0000003F"/>
    <w:name w:val="WW8Num6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3">
    <w:nsid w:val="00000040"/>
    <w:multiLevelType w:val="singleLevel"/>
    <w:tmpl w:val="00000040"/>
    <w:name w:val="WW8Num66"/>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4">
    <w:nsid w:val="00000041"/>
    <w:multiLevelType w:val="singleLevel"/>
    <w:tmpl w:val="00000041"/>
    <w:name w:val="WW8Num67"/>
    <w:lvl w:ilvl="0">
      <w:start w:val="1"/>
      <w:numFmt w:val="decimal"/>
      <w:lvlText w:val="%1."/>
      <w:lvlJc w:val="left"/>
      <w:pPr>
        <w:tabs>
          <w:tab w:val="num" w:pos="0"/>
        </w:tabs>
        <w:ind w:left="720" w:hanging="360"/>
      </w:pPr>
      <w:rPr>
        <w:rFonts w:ascii="Palatino Linotype" w:hAnsi="Palatino Linotype" w:cs="Times New Roman"/>
        <w:sz w:val="24"/>
        <w:szCs w:val="24"/>
      </w:rPr>
    </w:lvl>
  </w:abstractNum>
  <w:abstractNum w:abstractNumId="65">
    <w:nsid w:val="00000042"/>
    <w:multiLevelType w:val="singleLevel"/>
    <w:tmpl w:val="00000042"/>
    <w:name w:val="WW8Num68"/>
    <w:lvl w:ilvl="0">
      <w:start w:val="1"/>
      <w:numFmt w:val="decimal"/>
      <w:lvlText w:val="%1)"/>
      <w:lvlJc w:val="left"/>
      <w:pPr>
        <w:tabs>
          <w:tab w:val="num" w:pos="1509"/>
        </w:tabs>
        <w:ind w:left="1509" w:hanging="360"/>
      </w:pPr>
      <w:rPr>
        <w:rFonts w:ascii="Palatino Linotype" w:hAnsi="Palatino Linotype" w:cs="Times New Roman" w:hint="default"/>
        <w:sz w:val="24"/>
        <w:szCs w:val="24"/>
      </w:rPr>
    </w:lvl>
  </w:abstractNum>
  <w:abstractNum w:abstractNumId="66">
    <w:nsid w:val="00000043"/>
    <w:multiLevelType w:val="singleLevel"/>
    <w:tmpl w:val="00000043"/>
    <w:name w:val="WW8Num69"/>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7">
    <w:nsid w:val="00000044"/>
    <w:multiLevelType w:val="singleLevel"/>
    <w:tmpl w:val="00000044"/>
    <w:name w:val="WW8Num70"/>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8">
    <w:nsid w:val="00000045"/>
    <w:multiLevelType w:val="singleLevel"/>
    <w:tmpl w:val="00000045"/>
    <w:name w:val="WW8Num71"/>
    <w:lvl w:ilvl="0">
      <w:start w:val="1"/>
      <w:numFmt w:val="decimal"/>
      <w:lvlText w:val="%1)"/>
      <w:lvlJc w:val="left"/>
      <w:pPr>
        <w:tabs>
          <w:tab w:val="num" w:pos="0"/>
        </w:tabs>
        <w:ind w:left="1080" w:hanging="360"/>
      </w:pPr>
      <w:rPr>
        <w:rFonts w:ascii="Palatino Linotype" w:hAnsi="Palatino Linotype" w:cs="Palatino Linotype"/>
        <w:b w:val="0"/>
        <w:sz w:val="24"/>
        <w:szCs w:val="24"/>
      </w:rPr>
    </w:lvl>
  </w:abstractNum>
  <w:abstractNum w:abstractNumId="69">
    <w:nsid w:val="00000046"/>
    <w:multiLevelType w:val="singleLevel"/>
    <w:tmpl w:val="00000046"/>
    <w:name w:val="WW8Num72"/>
    <w:lvl w:ilvl="0">
      <w:start w:val="1"/>
      <w:numFmt w:val="bullet"/>
      <w:lvlText w:val=""/>
      <w:lvlJc w:val="left"/>
      <w:pPr>
        <w:tabs>
          <w:tab w:val="num" w:pos="360"/>
        </w:tabs>
        <w:ind w:left="360" w:hanging="360"/>
      </w:pPr>
      <w:rPr>
        <w:rFonts w:ascii="Symbol" w:hAnsi="Symbol" w:cs="Symbol" w:hint="default"/>
      </w:rPr>
    </w:lvl>
  </w:abstractNum>
  <w:abstractNum w:abstractNumId="70">
    <w:nsid w:val="00000047"/>
    <w:multiLevelType w:val="singleLevel"/>
    <w:tmpl w:val="00000047"/>
    <w:name w:val="WW8Num73"/>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71">
    <w:nsid w:val="00000048"/>
    <w:multiLevelType w:val="singleLevel"/>
    <w:tmpl w:val="00000048"/>
    <w:name w:val="WW8Num74"/>
    <w:lvl w:ilvl="0">
      <w:start w:val="1"/>
      <w:numFmt w:val="decimal"/>
      <w:lvlText w:val="%1."/>
      <w:lvlJc w:val="left"/>
      <w:pPr>
        <w:tabs>
          <w:tab w:val="num" w:pos="0"/>
        </w:tabs>
        <w:ind w:left="720" w:hanging="360"/>
      </w:pPr>
      <w:rPr>
        <w:rFonts w:ascii="Palatino Linotype" w:hAnsi="Palatino Linotype" w:cs="Palatino Linotype"/>
        <w:b w:val="0"/>
        <w:caps/>
        <w:sz w:val="24"/>
        <w:szCs w:val="24"/>
      </w:rPr>
    </w:lvl>
  </w:abstractNum>
  <w:abstractNum w:abstractNumId="72">
    <w:nsid w:val="00000049"/>
    <w:multiLevelType w:val="singleLevel"/>
    <w:tmpl w:val="00000049"/>
    <w:name w:val="WW8Num75"/>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3">
    <w:nsid w:val="0000004A"/>
    <w:multiLevelType w:val="singleLevel"/>
    <w:tmpl w:val="0000004A"/>
    <w:name w:val="WW8Num76"/>
    <w:lvl w:ilvl="0">
      <w:start w:val="1"/>
      <w:numFmt w:val="lowerLetter"/>
      <w:lvlText w:val="%1)"/>
      <w:lvlJc w:val="left"/>
      <w:pPr>
        <w:tabs>
          <w:tab w:val="num" w:pos="709"/>
        </w:tabs>
        <w:ind w:left="720" w:hanging="360"/>
      </w:pPr>
      <w:rPr>
        <w:rFonts w:ascii="Palatino Linotype" w:hAnsi="Palatino Linotype" w:cs="Palatino Linotype"/>
        <w:sz w:val="24"/>
        <w:szCs w:val="24"/>
      </w:rPr>
    </w:lvl>
  </w:abstractNum>
  <w:abstractNum w:abstractNumId="74">
    <w:nsid w:val="0000004B"/>
    <w:multiLevelType w:val="singleLevel"/>
    <w:tmpl w:val="0000004B"/>
    <w:name w:val="WW8Num77"/>
    <w:lvl w:ilvl="0">
      <w:start w:val="1"/>
      <w:numFmt w:val="decimal"/>
      <w:lvlText w:val="%1."/>
      <w:lvlJc w:val="left"/>
      <w:pPr>
        <w:tabs>
          <w:tab w:val="num" w:pos="0"/>
        </w:tabs>
        <w:ind w:left="720" w:hanging="360"/>
      </w:pPr>
      <w:rPr>
        <w:rFonts w:ascii="Palatino Linotype" w:hAnsi="Palatino Linotype" w:cs="Palatino Linotype"/>
        <w:color w:val="000000"/>
        <w:sz w:val="24"/>
        <w:szCs w:val="24"/>
      </w:rPr>
    </w:lvl>
  </w:abstractNum>
  <w:abstractNum w:abstractNumId="75">
    <w:nsid w:val="0000004C"/>
    <w:multiLevelType w:val="singleLevel"/>
    <w:tmpl w:val="0000004C"/>
    <w:name w:val="WW8Num78"/>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6">
    <w:nsid w:val="0000004D"/>
    <w:multiLevelType w:val="singleLevel"/>
    <w:tmpl w:val="0000004D"/>
    <w:name w:val="WW8Num79"/>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77">
    <w:nsid w:val="0000004E"/>
    <w:multiLevelType w:val="singleLevel"/>
    <w:tmpl w:val="0000004E"/>
    <w:name w:val="WW8Num80"/>
    <w:lvl w:ilvl="0">
      <w:start w:val="1"/>
      <w:numFmt w:val="decimal"/>
      <w:lvlText w:val="%1."/>
      <w:lvlJc w:val="left"/>
      <w:pPr>
        <w:tabs>
          <w:tab w:val="num" w:pos="644"/>
        </w:tabs>
        <w:ind w:left="644" w:hanging="360"/>
      </w:pPr>
      <w:rPr>
        <w:rFonts w:ascii="Palatino Linotype" w:hAnsi="Palatino Linotype" w:cs="Palatino Linotype"/>
        <w:b w:val="0"/>
        <w:sz w:val="24"/>
        <w:szCs w:val="24"/>
      </w:rPr>
    </w:lvl>
  </w:abstractNum>
  <w:abstractNum w:abstractNumId="78">
    <w:nsid w:val="0000004F"/>
    <w:multiLevelType w:val="singleLevel"/>
    <w:tmpl w:val="0000004F"/>
    <w:name w:val="WW8Num81"/>
    <w:lvl w:ilvl="0">
      <w:start w:val="1"/>
      <w:numFmt w:val="decimal"/>
      <w:lvlText w:val="%1."/>
      <w:lvlJc w:val="left"/>
      <w:pPr>
        <w:tabs>
          <w:tab w:val="num" w:pos="0"/>
        </w:tabs>
        <w:ind w:left="643" w:hanging="360"/>
      </w:pPr>
      <w:rPr>
        <w:rFonts w:ascii="Palatino Linotype" w:hAnsi="Palatino Linotype" w:cs="Palatino Linotype" w:hint="default"/>
        <w:szCs w:val="24"/>
      </w:rPr>
    </w:lvl>
  </w:abstractNum>
  <w:abstractNum w:abstractNumId="79">
    <w:nsid w:val="00000050"/>
    <w:multiLevelType w:val="singleLevel"/>
    <w:tmpl w:val="00000050"/>
    <w:name w:val="WW8Num82"/>
    <w:lvl w:ilvl="0">
      <w:start w:val="1"/>
      <w:numFmt w:val="decimal"/>
      <w:lvlText w:val="%1)"/>
      <w:lvlJc w:val="left"/>
      <w:pPr>
        <w:tabs>
          <w:tab w:val="num" w:pos="0"/>
        </w:tabs>
        <w:ind w:left="1117" w:hanging="360"/>
      </w:pPr>
      <w:rPr>
        <w:rFonts w:ascii="Palatino Linotype" w:hAnsi="Palatino Linotype" w:cs="Palatino Linotype"/>
        <w:sz w:val="24"/>
        <w:szCs w:val="24"/>
      </w:rPr>
    </w:lvl>
  </w:abstractNum>
  <w:abstractNum w:abstractNumId="80">
    <w:nsid w:val="00000051"/>
    <w:multiLevelType w:val="singleLevel"/>
    <w:tmpl w:val="00000051"/>
    <w:name w:val="WW8Num83"/>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1">
    <w:nsid w:val="00000052"/>
    <w:multiLevelType w:val="multilevel"/>
    <w:tmpl w:val="00000052"/>
    <w:lvl w:ilvl="0">
      <w:start w:val="1"/>
      <w:numFmt w:val="upperRoman"/>
      <w:suff w:val="space"/>
      <w:lvlText w:val="Rozdział %1."/>
      <w:lvlJc w:val="center"/>
      <w:pPr>
        <w:tabs>
          <w:tab w:val="num" w:pos="0"/>
        </w:tabs>
        <w:ind w:left="288" w:firstLine="288"/>
      </w:pPr>
      <w:rPr>
        <w:rFonts w:hint="default"/>
        <w:b/>
        <w:i w:val="0"/>
      </w:rPr>
    </w:lvl>
    <w:lvl w:ilvl="1">
      <w:start w:val="1"/>
      <w:numFmt w:val="decimal"/>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142"/>
        </w:tabs>
        <w:ind w:left="539"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o:shapelayout v:ext="edit">
      <o:idmap v:ext="edit" data="1"/>
    </o:shapelayout>
  </w:hdrShapeDefaults>
  <w:footnotePr>
    <w:footnote w:id="-1"/>
    <w:footnote w:id="0"/>
  </w:footnotePr>
  <w:endnotePr>
    <w:endnote w:id="-1"/>
    <w:endnote w:id="0"/>
  </w:endnotePr>
  <w:compat/>
  <w:rsids>
    <w:rsidRoot w:val="00281A27"/>
    <w:rsid w:val="000576C5"/>
    <w:rsid w:val="000B1602"/>
    <w:rsid w:val="00281A27"/>
    <w:rsid w:val="003733E7"/>
    <w:rsid w:val="004A380F"/>
    <w:rsid w:val="005E0EC3"/>
    <w:rsid w:val="006B2B93"/>
    <w:rsid w:val="0096783F"/>
    <w:rsid w:val="00BD0B1E"/>
    <w:rsid w:val="00D22C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numPr>
        <w:numId w:val="1"/>
      </w:numPr>
      <w:spacing w:before="240" w:after="60"/>
      <w:outlineLvl w:val="0"/>
    </w:pPr>
    <w:rPr>
      <w:rFonts w:ascii="Arial" w:hAnsi="Arial" w:cs="Arial"/>
      <w:b/>
      <w:bCs/>
      <w:kern w:val="1"/>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7">
    <w:name w:val="heading 7"/>
    <w:basedOn w:val="Normalny"/>
    <w:next w:val="Normalny"/>
    <w:qFormat/>
    <w:pPr>
      <w:numPr>
        <w:ilvl w:val="6"/>
        <w:numId w:val="1"/>
      </w:numPr>
      <w:spacing w:before="240" w:after="60"/>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Calibri" w:hAnsi="Calibri" w:cs="Times New Roman"/>
      <w:sz w:val="22"/>
      <w:szCs w:val="22"/>
    </w:rPr>
  </w:style>
  <w:style w:type="character" w:customStyle="1" w:styleId="WW8Num1z1">
    <w:name w:val="WW8Num1z1"/>
    <w:rPr>
      <w:rFonts w:cs="Times New Roman"/>
      <w:sz w:val="22"/>
      <w:szCs w:val="22"/>
    </w:rPr>
  </w:style>
  <w:style w:type="character" w:customStyle="1" w:styleId="WW8Num1z2">
    <w:name w:val="WW8Num1z2"/>
    <w:rPr>
      <w:rFonts w:ascii="Palatino Linotype" w:hAnsi="Palatino Linotype" w:cs="Times New Roman"/>
      <w:sz w:val="24"/>
      <w:szCs w:val="24"/>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5z0">
    <w:name w:val="WW8Num5z0"/>
    <w:rPr>
      <w:rFonts w:ascii="Palatino Linotype" w:hAnsi="Palatino Linotype" w:cs="Palatino Linotype"/>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Palatino Linotype" w:hAnsi="Palatino Linotype" w:cs="Palatino Linotype"/>
      <w:caps/>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Palatino Linotype" w:hAnsi="Palatino Linotype" w:cs="Palatino Linotype"/>
      <w:sz w:val="24"/>
      <w:szCs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Palatino Linotype" w:hAnsi="Palatino Linotype" w:cs="Palatino Linotype"/>
      <w:sz w:val="24"/>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Palatino Linotype" w:hAnsi="Palatino Linotype" w:cs="Palatino Linotype"/>
      <w:sz w:val="24"/>
      <w:szCs w:val="2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Palatino Linotype" w:hAnsi="Palatino Linotype" w:cs="Palatino Linotype"/>
      <w:sz w:val="24"/>
      <w:szCs w:val="24"/>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Palatino Linotype" w:hAnsi="Palatino Linotype" w:cs="Palatino Linotype"/>
      <w:sz w:val="24"/>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Palatino Linotype" w:hAnsi="Palatino Linotype" w:cs="Palatino Linotype"/>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b/>
      <w:i w:val="0"/>
    </w:rPr>
  </w:style>
  <w:style w:type="character" w:customStyle="1" w:styleId="WW8Num15z2">
    <w:name w:val="WW8Num15z2"/>
    <w:rPr>
      <w:rFonts w:hint="default"/>
    </w:rPr>
  </w:style>
  <w:style w:type="character" w:customStyle="1" w:styleId="WW8Num16z0">
    <w:name w:val="WW8Num16z0"/>
    <w:rPr>
      <w:rFonts w:ascii="Palatino Linotype" w:hAnsi="Palatino Linotype" w:cs="Palatino Linotype"/>
      <w:sz w:val="24"/>
      <w:szCs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Palatino Linotype" w:hAnsi="Palatino Linotype" w:cs="Calibri"/>
      <w:sz w:val="24"/>
      <w:szCs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Palatino Linotype" w:hAnsi="Palatino Linotype" w:cs="Palatino Linotype"/>
      <w:sz w:val="24"/>
      <w:szCs w:val="24"/>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Palatino Linotype" w:hAnsi="Palatino Linotype" w:cs="Arial"/>
      <w:b w:val="0"/>
      <w:color w:val="000000"/>
      <w:sz w:val="24"/>
      <w:szCs w:val="24"/>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Palatino Linotype" w:hAnsi="Palatino Linotype" w:cs="Palatino Linotype"/>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Palatino Linotype" w:hAnsi="Palatino Linotype" w:cs="TimesNewRoman"/>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Palatino Linotype" w:hAnsi="Palatino Linotype" w:cs="Palatino Linotype"/>
      <w:sz w:val="24"/>
      <w:szCs w:val="24"/>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Palatino Linotype" w:hAnsi="Palatino Linotype" w:cs="Palatino Linotype"/>
      <w:b w:val="0"/>
      <w:sz w:val="24"/>
      <w:szCs w:val="24"/>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Palatino Linotype" w:hAnsi="Palatino Linotype" w:cs="Palatino Linotype"/>
      <w:sz w:val="24"/>
      <w:szCs w:val="24"/>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Palatino Linotype" w:hAnsi="Palatino Linotype" w:cs="Palatino Linotype"/>
      <w:sz w:val="24"/>
      <w:szCs w:val="24"/>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Palatino Linotype" w:hAnsi="Palatino Linotype" w:cs="Times New Roman" w:hint="default"/>
      <w:i w:val="0"/>
      <w:sz w:val="24"/>
      <w:szCs w:val="24"/>
    </w:rPr>
  </w:style>
  <w:style w:type="character" w:customStyle="1" w:styleId="WW8Num28z1">
    <w:name w:val="WW8Num28z1"/>
    <w:rPr>
      <w:rFonts w:ascii="Palatino Linotype" w:hAnsi="Palatino Linotype" w:cs="Times New Roman" w:hint="default"/>
      <w:sz w:val="24"/>
      <w:szCs w:val="24"/>
    </w:rPr>
  </w:style>
  <w:style w:type="character" w:customStyle="1" w:styleId="WW8Num28z2">
    <w:name w:val="WW8Num28z2"/>
    <w:rPr>
      <w:rFonts w:cs="Times New Roman"/>
    </w:rPr>
  </w:style>
  <w:style w:type="character" w:customStyle="1" w:styleId="WW8Num29z0">
    <w:name w:val="WW8Num29z0"/>
    <w:rPr>
      <w:rFonts w:ascii="Palatino Linotype" w:hAnsi="Palatino Linotype" w:cs="Palatino Linotype"/>
      <w:caps/>
      <w:sz w:val="24"/>
      <w:szCs w:val="24"/>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Palatino Linotype" w:hAnsi="Palatino Linotype" w:cs="Palatino Linotype"/>
      <w:b w:val="0"/>
      <w:sz w:val="24"/>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Palatino Linotype" w:hAnsi="Palatino Linotype" w:cs="Palatino Linotype"/>
      <w:sz w:val="24"/>
      <w:szCs w:val="24"/>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Palatino Linotype" w:hAnsi="Palatino Linotype" w:cs="Times New Roman" w:hint="default"/>
      <w:i w:val="0"/>
      <w:color w:val="000000"/>
      <w:sz w:val="24"/>
      <w:szCs w:val="24"/>
    </w:rPr>
  </w:style>
  <w:style w:type="character" w:customStyle="1" w:styleId="WW8Num33z1">
    <w:name w:val="WW8Num33z1"/>
    <w:rPr>
      <w:rFonts w:cs="Times New Roman"/>
    </w:rPr>
  </w:style>
  <w:style w:type="character" w:customStyle="1" w:styleId="WW8Num34z0">
    <w:name w:val="WW8Num34z0"/>
    <w:rPr>
      <w:rFonts w:ascii="Symbol" w:hAnsi="Symbol" w:cs="Symbol" w:hint="default"/>
    </w:rPr>
  </w:style>
  <w:style w:type="character" w:customStyle="1" w:styleId="WW8Num35z0">
    <w:name w:val="WW8Num35z0"/>
    <w:rPr>
      <w:rFonts w:ascii="Palatino Linotype" w:hAnsi="Palatino Linotype" w:cs="Palatino Linotype"/>
      <w:sz w:val="24"/>
      <w:szCs w:val="24"/>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Palatino Linotype" w:hAnsi="Palatino Linotype" w:cs="Palatino Linotype"/>
      <w:sz w:val="24"/>
      <w:szCs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caps/>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Palatino Linotype" w:hAnsi="Palatino Linotype" w:cs="Palatino Linotype"/>
      <w:sz w:val="24"/>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Palatino Linotype" w:hAnsi="Palatino Linotype" w:cs="Palatino Linotype"/>
      <w:sz w:val="24"/>
      <w:szCs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Palatino Linotype" w:hAnsi="Palatino Linotype" w:cs="Palatino Linotype"/>
      <w:sz w:val="24"/>
      <w:szCs w:val="24"/>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Palatino Linotype" w:hAnsi="Palatino Linotype" w:cs="Palatino Linotype"/>
      <w:sz w:val="24"/>
      <w:szCs w:val="24"/>
    </w:rPr>
  </w:style>
  <w:style w:type="character" w:customStyle="1" w:styleId="WW8Num42z1">
    <w:name w:val="WW8Num42z1"/>
    <w:rPr>
      <w:rFonts w:cs="Times New Roman"/>
    </w:rPr>
  </w:style>
  <w:style w:type="character" w:customStyle="1" w:styleId="WW8Num43z0">
    <w:name w:val="WW8Num43z0"/>
    <w:rPr>
      <w:rFonts w:ascii="Palatino Linotype" w:hAnsi="Palatino Linotype" w:cs="Palatino Linotype"/>
      <w:sz w:val="24"/>
      <w:szCs w:val="24"/>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Palatino Linotype" w:hAnsi="Palatino Linotype" w:cs="Palatino Linotype"/>
      <w:sz w:val="24"/>
      <w:szCs w:val="24"/>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Palatino Linotype" w:hAnsi="Palatino Linotype" w:cs="Palatino Linotype"/>
      <w:sz w:val="24"/>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Palatino Linotype" w:hAnsi="Palatino Linotype" w:cs="Palatino Linotype"/>
      <w:b w:val="0"/>
      <w:sz w:val="24"/>
      <w:szCs w:val="24"/>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Palatino Linotype" w:hAnsi="Palatino Linotype" w:cs="Palatino Linotype"/>
      <w:sz w:val="24"/>
      <w:szCs w:val="24"/>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Palatino Linotype" w:hAnsi="Palatino Linotype" w:cs="Palatino Linotype"/>
      <w:b w:val="0"/>
      <w:caps/>
      <w:sz w:val="24"/>
      <w:szCs w:val="24"/>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Palatino Linotype" w:hAnsi="Palatino Linotype" w:cs="Palatino Linotype"/>
      <w:sz w:val="24"/>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Palatino Linotype" w:hAnsi="Palatino Linotype" w:cs="Palatino Linotype"/>
      <w:caps/>
      <w:sz w:val="24"/>
      <w:szCs w:val="24"/>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Palatino Linotype" w:hAnsi="Palatino Linotype" w:cs="TimesNewRoman"/>
      <w:sz w:val="24"/>
      <w:szCs w:val="24"/>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Palatino Linotype" w:hAnsi="Palatino Linotype" w:cs="Palatino Linotype"/>
      <w:sz w:val="24"/>
      <w:szCs w:val="24"/>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ascii="Times New Roman" w:hAnsi="Times New Roman" w:cs="Times New Roman" w:hint="default"/>
      <w:b w:val="0"/>
      <w:i w:val="0"/>
      <w:sz w:val="24"/>
    </w:rPr>
  </w:style>
  <w:style w:type="character" w:customStyle="1" w:styleId="WW8Num54z0">
    <w:name w:val="WW8Num54z0"/>
    <w:rPr>
      <w:rFonts w:ascii="Palatino Linotype" w:hAnsi="Palatino Linotype" w:cs="Palatino Linotype"/>
      <w:sz w:val="24"/>
      <w:szCs w:val="24"/>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Palatino Linotype" w:hAnsi="Palatino Linotype" w:cs="Palatino Linotype"/>
      <w:sz w:val="24"/>
      <w:szCs w:val="24"/>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Palatino Linotype" w:hAnsi="Palatino Linotype" w:cs="Palatino Linotype"/>
      <w:sz w:val="24"/>
      <w:szCs w:val="24"/>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Palatino Linotype" w:hAnsi="Palatino Linotype" w:cs="Palatino Linotype"/>
      <w:caps/>
      <w:sz w:val="24"/>
      <w:szCs w:val="24"/>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Palatino Linotype" w:hAnsi="Palatino Linotype" w:cs="Palatino Linotype"/>
      <w:sz w:val="24"/>
      <w:szCs w:val="24"/>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ascii="Palatino Linotype" w:hAnsi="Palatino Linotype" w:cs="Palatino Linotype"/>
      <w:sz w:val="24"/>
      <w:szCs w:val="24"/>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Times New Roman" w:hAnsi="Times New Roman" w:cs="Times New Roman" w:hint="default"/>
      <w:b w:val="0"/>
      <w:i w:val="0"/>
      <w:sz w:val="24"/>
      <w:szCs w:val="24"/>
      <w:u w:val="none"/>
    </w:rPr>
  </w:style>
  <w:style w:type="character" w:customStyle="1" w:styleId="WW8Num62z0">
    <w:name w:val="WW8Num62z0"/>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Palatino Linotype" w:hAnsi="Palatino Linotype" w:cs="Palatino Linotype"/>
      <w:sz w:val="24"/>
      <w:szCs w:val="24"/>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Times New Roman" w:hAnsi="Times New Roman" w:cs="Times New Roman" w:hint="default"/>
      <w:b w:val="0"/>
      <w:i w:val="0"/>
      <w:sz w:val="24"/>
      <w:szCs w:val="24"/>
      <w:u w:val="none"/>
    </w:rPr>
  </w:style>
  <w:style w:type="character" w:customStyle="1" w:styleId="WW8Num65z0">
    <w:name w:val="WW8Num65z0"/>
    <w:rPr>
      <w:rFonts w:ascii="Palatino Linotype" w:hAnsi="Palatino Linotype" w:cs="Palatino Linotype"/>
      <w:sz w:val="24"/>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Palatino Linotype" w:hAnsi="Palatino Linotype" w:cs="Palatino Linotype"/>
      <w:sz w:val="24"/>
      <w:szCs w:val="24"/>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Palatino Linotype" w:hAnsi="Palatino Linotype" w:cs="Times New Roman"/>
      <w:sz w:val="24"/>
      <w:szCs w:val="24"/>
    </w:rPr>
  </w:style>
  <w:style w:type="character" w:customStyle="1" w:styleId="WW8Num68z0">
    <w:name w:val="WW8Num68z0"/>
    <w:rPr>
      <w:rFonts w:ascii="Palatino Linotype" w:hAnsi="Palatino Linotype" w:cs="Times New Roman" w:hint="default"/>
      <w:sz w:val="24"/>
      <w:szCs w:val="24"/>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ascii="Palatino Linotype" w:hAnsi="Palatino Linotype" w:cs="Palatino Linotype"/>
      <w:sz w:val="24"/>
      <w:szCs w:val="24"/>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Palatino Linotype" w:hAnsi="Palatino Linotype" w:cs="Palatino Linotype"/>
      <w:sz w:val="24"/>
      <w:szCs w:val="24"/>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Palatino Linotype" w:hAnsi="Palatino Linotype" w:cs="Palatino Linotype"/>
      <w:b w:val="0"/>
      <w:sz w:val="24"/>
      <w:szCs w:val="24"/>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Symbol" w:hAnsi="Symbol" w:cs="Symbol" w:hint="default"/>
    </w:rPr>
  </w:style>
  <w:style w:type="character" w:customStyle="1" w:styleId="WW8Num72z1">
    <w:name w:val="WW8Num72z1"/>
    <w:rPr>
      <w:rFonts w:ascii="Courier New" w:hAnsi="Courier New" w:cs="Courier New" w:hint="default"/>
    </w:rPr>
  </w:style>
  <w:style w:type="character" w:customStyle="1" w:styleId="WW8Num72z2">
    <w:name w:val="WW8Num72z2"/>
    <w:rPr>
      <w:rFonts w:ascii="Wingdings" w:hAnsi="Wingdings" w:cs="Wingdings" w:hint="default"/>
    </w:rPr>
  </w:style>
  <w:style w:type="character" w:customStyle="1" w:styleId="WW8Num73z0">
    <w:name w:val="WW8Num73z0"/>
    <w:rPr>
      <w:rFonts w:ascii="Palatino Linotype" w:hAnsi="Palatino Linotype" w:cs="Palatino Linotype"/>
      <w:sz w:val="24"/>
      <w:szCs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ascii="Palatino Linotype" w:hAnsi="Palatino Linotype" w:cs="Palatino Linotype"/>
      <w:b w:val="0"/>
      <w:caps/>
      <w:sz w:val="24"/>
      <w:szCs w:val="24"/>
    </w:rPr>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rPr>
      <w:rFonts w:ascii="Palatino Linotype" w:hAnsi="Palatino Linotype" w:cs="Palatino Linotype"/>
      <w:sz w:val="24"/>
      <w:szCs w:val="24"/>
    </w:rPr>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ascii="Palatino Linotype" w:hAnsi="Palatino Linotype" w:cs="Palatino Linotype"/>
      <w:sz w:val="24"/>
      <w:szCs w:val="24"/>
    </w:rPr>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Palatino Linotype" w:hAnsi="Palatino Linotype" w:cs="Palatino Linotype"/>
      <w:color w:val="000000"/>
      <w:sz w:val="24"/>
      <w:szCs w:val="24"/>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Palatino Linotype" w:hAnsi="Palatino Linotype" w:cs="Palatino Linotype"/>
      <w:sz w:val="24"/>
      <w:szCs w:val="24"/>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Palatino Linotype" w:hAnsi="Palatino Linotype" w:cs="Palatino Linotype"/>
      <w:b w:val="0"/>
      <w:sz w:val="24"/>
      <w:szCs w:val="24"/>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Palatino Linotype" w:hAnsi="Palatino Linotype" w:cs="Palatino Linotype"/>
      <w:b w:val="0"/>
      <w:sz w:val="24"/>
      <w:szCs w:val="24"/>
    </w:rPr>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0">
    <w:name w:val="WW8Num81z0"/>
    <w:rPr>
      <w:rFonts w:ascii="Palatino Linotype" w:hAnsi="Palatino Linotype" w:cs="Palatino Linotype" w:hint="default"/>
      <w:szCs w:val="24"/>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ascii="Palatino Linotype" w:hAnsi="Palatino Linotype" w:cs="Palatino Linotype"/>
      <w:sz w:val="24"/>
      <w:szCs w:val="24"/>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rPr>
      <w:rFonts w:ascii="Palatino Linotype" w:hAnsi="Palatino Linotype" w:cs="Palatino Linotype"/>
      <w:sz w:val="24"/>
      <w:szCs w:val="24"/>
    </w:rPr>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Domylnaczcionkaakapitu1">
    <w:name w:val="Domyślna czcionka akapitu1"/>
  </w:style>
  <w:style w:type="character" w:styleId="Numerstrony">
    <w:name w:val="page number"/>
    <w:basedOn w:val="Domylnaczcionkaakapitu1"/>
  </w:style>
  <w:style w:type="character" w:styleId="Hipercze">
    <w:name w:val="Hyperlink"/>
    <w:rPr>
      <w:color w:val="0000FF"/>
      <w:u w:val="single"/>
    </w:rPr>
  </w:style>
  <w:style w:type="character" w:customStyle="1" w:styleId="Odwoaniedokomentarza1">
    <w:name w:val="Odwołanie do komentarza1"/>
    <w:rPr>
      <w:sz w:val="16"/>
      <w:szCs w:val="16"/>
    </w:rPr>
  </w:style>
  <w:style w:type="character" w:customStyle="1" w:styleId="TekstkomentarzaZnak">
    <w:name w:val="Tekst komentarza Znak"/>
    <w:rPr>
      <w:lang w:val="pl-PL" w:eastAsia="ar-SA" w:bidi="ar-SA"/>
    </w:rPr>
  </w:style>
  <w:style w:type="character" w:customStyle="1" w:styleId="TematkomentarzaZnak">
    <w:name w:val="Temat komentarza Znak"/>
    <w:rPr>
      <w:b/>
      <w:bCs/>
      <w:lang w:val="pl-PL" w:eastAsia="ar-SA" w:bidi="ar-SA"/>
    </w:rPr>
  </w:style>
  <w:style w:type="character" w:customStyle="1" w:styleId="FontStyle51">
    <w:name w:val="Font Style51"/>
    <w:rPr>
      <w:rFonts w:ascii="Times New Roman" w:hAnsi="Times New Roman" w:cs="Times New Roman"/>
      <w:sz w:val="22"/>
    </w:rPr>
  </w:style>
  <w:style w:type="character" w:customStyle="1" w:styleId="TekstdymkaZnak">
    <w:name w:val="Tekst dymka Znak"/>
    <w:rPr>
      <w:rFonts w:ascii="Tahoma" w:hAnsi="Tahoma" w:cs="Tahoma"/>
      <w:sz w:val="16"/>
      <w:szCs w:val="16"/>
    </w:rPr>
  </w:style>
  <w:style w:type="character" w:customStyle="1" w:styleId="TekstprzypisukocowegoZnak">
    <w:name w:val="Tekst przypisu końcowego Znak"/>
    <w:basedOn w:val="Domylnaczcionkaakapitu1"/>
  </w:style>
  <w:style w:type="character" w:customStyle="1" w:styleId="Znakiprzypiswkocowych">
    <w:name w:val="Znaki przypisów końcowych"/>
    <w:rPr>
      <w:vertAlign w:val="superscript"/>
    </w:rPr>
  </w:style>
  <w:style w:type="character" w:customStyle="1" w:styleId="TytuZnak">
    <w:name w:val="Tytuł Znak"/>
    <w:rPr>
      <w:rFonts w:ascii="Cambria" w:eastAsia="Times New Roman" w:hAnsi="Cambria" w:cs="Times New Roman"/>
      <w:b/>
      <w:bCs/>
      <w:kern w:val="1"/>
      <w:sz w:val="32"/>
      <w:szCs w:val="32"/>
    </w:rPr>
  </w:style>
  <w:style w:type="character" w:customStyle="1" w:styleId="ParagrafkolejneustepyZnak">
    <w:name w:val="Paragraf kolejne ustepy Znak"/>
    <w:rPr>
      <w:sz w:val="24"/>
      <w:szCs w:val="24"/>
    </w:rPr>
  </w:style>
  <w:style w:type="character" w:customStyle="1" w:styleId="BodyTextIndentChar">
    <w:name w:val="Body Text Indent Char"/>
    <w:rPr>
      <w:rFonts w:cs="Times New Roman"/>
      <w:lang/>
    </w:rPr>
  </w:style>
  <w:style w:type="character" w:customStyle="1" w:styleId="Tekstpodstawowy2Znak">
    <w:name w:val="Tekst podstawowy 2 Znak"/>
    <w:rPr>
      <w:sz w:val="24"/>
    </w:rPr>
  </w:style>
  <w:style w:type="character" w:customStyle="1" w:styleId="NagwekZnak">
    <w:name w:val="Nagłówek Znak"/>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b/>
      <w:color w:val="0000FF"/>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overflowPunct w:val="0"/>
      <w:autoSpaceDE w:val="0"/>
      <w:textAlignment w:val="baseline"/>
    </w:pPr>
  </w:style>
  <w:style w:type="paragraph" w:styleId="Tekstpodstawowywcity">
    <w:name w:val="Body Text Indent"/>
    <w:basedOn w:val="Normalny"/>
    <w:pPr>
      <w:spacing w:line="360" w:lineRule="auto"/>
      <w:ind w:left="4956"/>
      <w:jc w:val="both"/>
    </w:pPr>
    <w:rPr>
      <w:b/>
    </w:rPr>
  </w:style>
  <w:style w:type="paragraph" w:customStyle="1" w:styleId="Tekstpodstawowywcity21">
    <w:name w:val="Tekst podstawowy wcięty 21"/>
    <w:basedOn w:val="Normalny"/>
    <w:rPr>
      <w:rFonts w:ascii="Palatino Linotype" w:hAnsi="Palatino Linotype" w:cs="Palatino Linotype"/>
      <w:b/>
      <w:sz w:val="22"/>
      <w:szCs w:val="22"/>
    </w:rPr>
  </w:style>
  <w:style w:type="paragraph" w:customStyle="1" w:styleId="Tekstpodstawowy21">
    <w:name w:val="Tekst podstawowy 21"/>
    <w:basedOn w:val="Normalny"/>
    <w:pPr>
      <w:jc w:val="both"/>
    </w:pPr>
    <w:rPr>
      <w:sz w:val="24"/>
    </w:rPr>
  </w:style>
  <w:style w:type="paragraph" w:customStyle="1" w:styleId="Tekstpodstawowy31">
    <w:name w:val="Tekst podstawowy 31"/>
    <w:basedOn w:val="Normalny"/>
    <w:pPr>
      <w:spacing w:after="120"/>
    </w:pPr>
    <w:rPr>
      <w:sz w:val="16"/>
      <w:szCs w:val="16"/>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08"/>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NormalnyWeb">
    <w:name w:val="Normal (Web)"/>
    <w:basedOn w:val="Normalny"/>
    <w:pPr>
      <w:spacing w:before="280" w:after="280"/>
    </w:pPr>
    <w:rPr>
      <w:sz w:val="24"/>
      <w:szCs w:val="24"/>
    </w:rPr>
  </w:style>
  <w:style w:type="paragraph" w:customStyle="1" w:styleId="Style1">
    <w:name w:val="Style1"/>
    <w:basedOn w:val="Normalny"/>
    <w:pPr>
      <w:widowControl w:val="0"/>
      <w:autoSpaceDE w:val="0"/>
      <w:spacing w:before="60" w:line="283" w:lineRule="exact"/>
      <w:jc w:val="both"/>
    </w:pPr>
    <w:rPr>
      <w:rFonts w:eastAsia="Calibri"/>
      <w:sz w:val="24"/>
      <w:szCs w:val="24"/>
    </w:rPr>
  </w:style>
  <w:style w:type="paragraph" w:customStyle="1" w:styleId="ListParagraph">
    <w:name w:val="List Paragraph"/>
    <w:basedOn w:val="Normalny"/>
    <w:pPr>
      <w:spacing w:before="60" w:after="200" w:line="276" w:lineRule="auto"/>
      <w:ind w:left="720"/>
      <w:jc w:val="both"/>
    </w:pPr>
    <w:rPr>
      <w:rFonts w:ascii="Calibri" w:hAnsi="Calibri" w:cs="Calibri"/>
      <w:sz w:val="22"/>
      <w:szCs w:val="22"/>
    </w:rPr>
  </w:style>
  <w:style w:type="paragraph" w:styleId="Tekstdymka">
    <w:name w:val="Balloon Text"/>
    <w:basedOn w:val="Normalny"/>
    <w:rPr>
      <w:rFonts w:ascii="Tahoma" w:hAnsi="Tahoma" w:cs="Tahoma"/>
      <w:sz w:val="16"/>
      <w:szCs w:val="16"/>
    </w:rPr>
  </w:style>
  <w:style w:type="paragraph" w:styleId="Poprawka">
    <w:name w:val="Revision"/>
    <w:pPr>
      <w:suppressAutoHyphens/>
    </w:pPr>
    <w:rPr>
      <w:lang w:eastAsia="ar-SA"/>
    </w:rPr>
  </w:style>
  <w:style w:type="paragraph" w:styleId="Spistreci1">
    <w:name w:val="toc 1"/>
    <w:basedOn w:val="Normalny"/>
    <w:next w:val="Normalny"/>
    <w:pPr>
      <w:spacing w:before="120" w:after="120"/>
    </w:pPr>
    <w:rPr>
      <w:rFonts w:ascii="Calibri" w:hAnsi="Calibri" w:cs="Calibri"/>
      <w:b/>
      <w:bCs/>
      <w:caps/>
    </w:rPr>
  </w:style>
  <w:style w:type="paragraph" w:styleId="Spistreci2">
    <w:name w:val="toc 2"/>
    <w:basedOn w:val="Normalny"/>
    <w:next w:val="Normalny"/>
    <w:pPr>
      <w:ind w:left="200"/>
    </w:pPr>
    <w:rPr>
      <w:rFonts w:ascii="Calibri" w:hAnsi="Calibri" w:cs="Calibri"/>
      <w:smallCaps/>
    </w:rPr>
  </w:style>
  <w:style w:type="paragraph" w:styleId="Spistreci3">
    <w:name w:val="toc 3"/>
    <w:basedOn w:val="Normalny"/>
    <w:next w:val="Normalny"/>
    <w:pPr>
      <w:ind w:left="400"/>
    </w:pPr>
    <w:rPr>
      <w:rFonts w:ascii="Calibri" w:hAnsi="Calibri" w:cs="Calibri"/>
      <w:i/>
      <w:iCs/>
    </w:rPr>
  </w:style>
  <w:style w:type="paragraph" w:styleId="Spistreci4">
    <w:name w:val="toc 4"/>
    <w:basedOn w:val="Normalny"/>
    <w:next w:val="Normalny"/>
    <w:pPr>
      <w:ind w:left="600"/>
    </w:pPr>
    <w:rPr>
      <w:rFonts w:ascii="Calibri" w:hAnsi="Calibri" w:cs="Calibri"/>
      <w:sz w:val="18"/>
      <w:szCs w:val="18"/>
    </w:rPr>
  </w:style>
  <w:style w:type="paragraph" w:styleId="Spistreci5">
    <w:name w:val="toc 5"/>
    <w:basedOn w:val="Normalny"/>
    <w:next w:val="Normalny"/>
    <w:pPr>
      <w:ind w:left="800"/>
    </w:pPr>
    <w:rPr>
      <w:rFonts w:ascii="Calibri" w:hAnsi="Calibri" w:cs="Calibri"/>
      <w:sz w:val="18"/>
      <w:szCs w:val="18"/>
    </w:rPr>
  </w:style>
  <w:style w:type="paragraph" w:styleId="Spistreci6">
    <w:name w:val="toc 6"/>
    <w:basedOn w:val="Normalny"/>
    <w:next w:val="Normalny"/>
    <w:pPr>
      <w:ind w:left="1000"/>
    </w:pPr>
    <w:rPr>
      <w:rFonts w:ascii="Calibri" w:hAnsi="Calibri" w:cs="Calibri"/>
      <w:sz w:val="18"/>
      <w:szCs w:val="18"/>
    </w:rPr>
  </w:style>
  <w:style w:type="paragraph" w:styleId="Spistreci7">
    <w:name w:val="toc 7"/>
    <w:basedOn w:val="Normalny"/>
    <w:next w:val="Normalny"/>
    <w:pPr>
      <w:ind w:left="1200"/>
    </w:pPr>
    <w:rPr>
      <w:rFonts w:ascii="Calibri" w:hAnsi="Calibri" w:cs="Calibri"/>
      <w:sz w:val="18"/>
      <w:szCs w:val="18"/>
    </w:rPr>
  </w:style>
  <w:style w:type="paragraph" w:styleId="Spistreci8">
    <w:name w:val="toc 8"/>
    <w:basedOn w:val="Normalny"/>
    <w:next w:val="Normalny"/>
    <w:pPr>
      <w:ind w:left="1400"/>
    </w:pPr>
    <w:rPr>
      <w:rFonts w:ascii="Calibri" w:hAnsi="Calibri" w:cs="Calibri"/>
      <w:sz w:val="18"/>
      <w:szCs w:val="18"/>
    </w:rPr>
  </w:style>
  <w:style w:type="paragraph" w:styleId="Spistreci9">
    <w:name w:val="toc 9"/>
    <w:basedOn w:val="Normalny"/>
    <w:next w:val="Normalny"/>
    <w:pPr>
      <w:ind w:left="1600"/>
    </w:pPr>
    <w:rPr>
      <w:rFonts w:ascii="Calibri" w:hAnsi="Calibri" w:cs="Calibri"/>
      <w:sz w:val="18"/>
      <w:szCs w:val="18"/>
    </w:rPr>
  </w:style>
  <w:style w:type="paragraph" w:styleId="Nagwekspisutreci">
    <w:name w:val="TOC Heading"/>
    <w:basedOn w:val="Nagwek1"/>
    <w:next w:val="Normalny"/>
    <w:qFormat/>
    <w:pPr>
      <w:keepLines/>
      <w:numPr>
        <w:numId w:val="0"/>
      </w:numPr>
      <w:spacing w:before="480" w:after="0" w:line="276" w:lineRule="auto"/>
    </w:pPr>
    <w:rPr>
      <w:rFonts w:ascii="Cambria" w:hAnsi="Cambria" w:cs="Times New Roman"/>
      <w:color w:val="365F91"/>
      <w:sz w:val="28"/>
      <w:szCs w:val="28"/>
    </w:rPr>
  </w:style>
  <w:style w:type="paragraph" w:styleId="Tekstprzypisukocowego">
    <w:name w:val="endnote text"/>
    <w:basedOn w:val="Normalny"/>
  </w:style>
  <w:style w:type="paragraph" w:styleId="Tytu">
    <w:name w:val="Title"/>
    <w:basedOn w:val="Normalny"/>
    <w:next w:val="Normalny"/>
    <w:qFormat/>
    <w:pPr>
      <w:spacing w:before="240" w:after="60"/>
      <w:jc w:val="center"/>
    </w:pPr>
    <w:rPr>
      <w:rFonts w:ascii="Cambria" w:hAnsi="Cambria"/>
      <w:b/>
      <w:bCs/>
      <w:kern w:val="1"/>
      <w:sz w:val="32"/>
      <w:szCs w:val="32"/>
    </w:rPr>
  </w:style>
  <w:style w:type="paragraph" w:styleId="Podtytu">
    <w:name w:val="Subtitle"/>
    <w:basedOn w:val="Nagwek10"/>
    <w:next w:val="Tekstpodstawowy"/>
    <w:qFormat/>
    <w:pPr>
      <w:jc w:val="center"/>
    </w:pPr>
    <w:rPr>
      <w:i/>
      <w:iCs/>
    </w:rPr>
  </w:style>
  <w:style w:type="paragraph" w:styleId="Indeks1">
    <w:name w:val="index 1"/>
    <w:basedOn w:val="Normalny"/>
    <w:next w:val="Normalny"/>
    <w:pPr>
      <w:ind w:left="200" w:hanging="200"/>
    </w:pPr>
  </w:style>
  <w:style w:type="paragraph" w:customStyle="1" w:styleId="Paragrafkolejneustepy">
    <w:name w:val="Paragraf kolejne ustepy"/>
    <w:basedOn w:val="Normalny"/>
    <w:pPr>
      <w:numPr>
        <w:numId w:val="82"/>
      </w:numPr>
      <w:spacing w:before="120"/>
      <w:jc w:val="both"/>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6446</Words>
  <Characters>38681</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Instrukcja kancelaryjna tradycyjna</vt:lpstr>
    </vt:vector>
  </TitlesOfParts>
  <Company>Hewlett-Packard</Company>
  <LinksUpToDate>false</LinksUpToDate>
  <CharactersWithSpaces>45037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kancelaryjna tradycyjna</dc:title>
  <dc:creator>Małgorzata Najduch;Ewa Perłakowska;Monika Kowzon-Świtalska</dc:creator>
  <cp:lastModifiedBy>Julia Fujarska</cp:lastModifiedBy>
  <cp:revision>2</cp:revision>
  <cp:lastPrinted>2013-07-12T12:20:00Z</cp:lastPrinted>
  <dcterms:created xsi:type="dcterms:W3CDTF">2019-02-01T20:10:00Z</dcterms:created>
  <dcterms:modified xsi:type="dcterms:W3CDTF">2019-02-01T20:10:00Z</dcterms:modified>
</cp:coreProperties>
</file>