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92F" w:rsidRPr="008122B1" w:rsidRDefault="008122B1">
      <w:pPr>
        <w:pStyle w:val="Tekstpodstawowywcity"/>
        <w:ind w:left="5664"/>
        <w:rPr>
          <w:rFonts w:ascii="Times New Roman" w:hAnsi="Times New Roman" w:cs="Times New Roman"/>
          <w:sz w:val="18"/>
          <w:szCs w:val="18"/>
        </w:rPr>
      </w:pPr>
      <w:r w:rsidRPr="008122B1">
        <w:rPr>
          <w:rFonts w:ascii="Times New Roman" w:hAnsi="Times New Roman" w:cs="Times New Roman"/>
          <w:sz w:val="18"/>
          <w:szCs w:val="18"/>
        </w:rPr>
        <w:t>Załącznik Nr  3 do Zarządzenia Nr  2/2019</w:t>
      </w:r>
    </w:p>
    <w:p w:rsidR="0055092F" w:rsidRPr="008122B1" w:rsidRDefault="0055092F">
      <w:pPr>
        <w:ind w:left="4956" w:firstLine="708"/>
        <w:jc w:val="both"/>
        <w:rPr>
          <w:b/>
          <w:sz w:val="18"/>
          <w:szCs w:val="18"/>
        </w:rPr>
      </w:pPr>
    </w:p>
    <w:p w:rsidR="008122B1" w:rsidRPr="008122B1" w:rsidRDefault="008122B1" w:rsidP="008122B1">
      <w:pPr>
        <w:ind w:left="4956" w:firstLine="708"/>
        <w:jc w:val="both"/>
        <w:rPr>
          <w:b/>
          <w:sz w:val="18"/>
          <w:szCs w:val="18"/>
        </w:rPr>
      </w:pPr>
      <w:r w:rsidRPr="008122B1">
        <w:rPr>
          <w:b/>
          <w:sz w:val="18"/>
          <w:szCs w:val="18"/>
        </w:rPr>
        <w:t>Dyrektora Miejskiego Przedszkola Nr 37</w:t>
      </w:r>
    </w:p>
    <w:p w:rsidR="008122B1" w:rsidRPr="008122B1" w:rsidRDefault="008122B1" w:rsidP="008122B1">
      <w:pPr>
        <w:ind w:left="4956" w:firstLine="708"/>
        <w:jc w:val="both"/>
        <w:rPr>
          <w:b/>
          <w:sz w:val="18"/>
          <w:szCs w:val="18"/>
        </w:rPr>
      </w:pPr>
    </w:p>
    <w:p w:rsidR="0055092F" w:rsidRPr="008122B1" w:rsidRDefault="008122B1" w:rsidP="008122B1">
      <w:pPr>
        <w:ind w:left="4956" w:firstLine="708"/>
        <w:jc w:val="both"/>
        <w:rPr>
          <w:b/>
          <w:sz w:val="18"/>
          <w:szCs w:val="18"/>
        </w:rPr>
      </w:pPr>
      <w:r w:rsidRPr="008122B1">
        <w:rPr>
          <w:b/>
          <w:sz w:val="18"/>
          <w:szCs w:val="18"/>
        </w:rPr>
        <w:t>w Częstochowie  z dnia 09. 01. 2019 r.</w:t>
      </w:r>
    </w:p>
    <w:p w:rsidR="0055092F" w:rsidRDefault="0055092F">
      <w:pPr>
        <w:spacing w:before="120" w:after="120"/>
        <w:jc w:val="right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b/>
          <w:sz w:val="22"/>
          <w:szCs w:val="22"/>
        </w:rPr>
        <w:br/>
      </w:r>
    </w:p>
    <w:p w:rsidR="0055092F" w:rsidRDefault="0055092F">
      <w:pPr>
        <w:spacing w:before="120" w:after="120"/>
        <w:jc w:val="both"/>
        <w:rPr>
          <w:rFonts w:ascii="Palatino Linotype" w:hAnsi="Palatino Linotype" w:cs="Arial"/>
          <w:sz w:val="22"/>
          <w:szCs w:val="22"/>
        </w:rPr>
      </w:pPr>
    </w:p>
    <w:p w:rsidR="0055092F" w:rsidRDefault="0055092F">
      <w:pPr>
        <w:spacing w:before="120" w:after="120"/>
        <w:jc w:val="both"/>
        <w:rPr>
          <w:rFonts w:ascii="Palatino Linotype" w:hAnsi="Palatino Linotype" w:cs="Arial"/>
          <w:sz w:val="22"/>
          <w:szCs w:val="22"/>
        </w:rPr>
      </w:pPr>
    </w:p>
    <w:p w:rsidR="0055092F" w:rsidRDefault="0055092F">
      <w:pPr>
        <w:spacing w:before="120" w:after="120"/>
        <w:jc w:val="both"/>
        <w:rPr>
          <w:rFonts w:ascii="Palatino Linotype" w:hAnsi="Palatino Linotype" w:cs="Arial"/>
          <w:b/>
          <w:sz w:val="22"/>
          <w:szCs w:val="22"/>
        </w:rPr>
      </w:pPr>
    </w:p>
    <w:p w:rsidR="0055092F" w:rsidRDefault="0055092F">
      <w:pPr>
        <w:spacing w:before="120" w:after="120"/>
        <w:jc w:val="center"/>
        <w:rPr>
          <w:rFonts w:ascii="Palatino Linotype" w:hAnsi="Palatino Linotype" w:cs="Arial"/>
          <w:b/>
          <w:sz w:val="22"/>
          <w:szCs w:val="22"/>
        </w:rPr>
      </w:pPr>
    </w:p>
    <w:p w:rsidR="0055092F" w:rsidRPr="008122B1" w:rsidRDefault="0055092F">
      <w:pPr>
        <w:spacing w:before="120" w:after="120" w:line="360" w:lineRule="auto"/>
        <w:jc w:val="center"/>
        <w:rPr>
          <w:rFonts w:ascii="Palatino Linotype" w:hAnsi="Palatino Linotype" w:cs="Arial"/>
          <w:b/>
          <w:color w:val="000000"/>
          <w:sz w:val="32"/>
          <w:szCs w:val="32"/>
        </w:rPr>
      </w:pPr>
      <w:r w:rsidRPr="008122B1">
        <w:rPr>
          <w:rFonts w:ascii="Palatino Linotype" w:hAnsi="Palatino Linotype" w:cs="Arial"/>
          <w:b/>
          <w:color w:val="000000"/>
          <w:sz w:val="32"/>
          <w:szCs w:val="32"/>
        </w:rPr>
        <w:t>INSTRUKCJA</w:t>
      </w:r>
    </w:p>
    <w:p w:rsidR="008122B1" w:rsidRDefault="0055092F">
      <w:pPr>
        <w:spacing w:after="60" w:line="360" w:lineRule="auto"/>
        <w:jc w:val="center"/>
        <w:rPr>
          <w:rFonts w:ascii="Palatino Linotype" w:hAnsi="Palatino Linotype" w:cs="Arial"/>
          <w:b/>
          <w:color w:val="000000"/>
          <w:sz w:val="32"/>
          <w:szCs w:val="32"/>
        </w:rPr>
      </w:pPr>
      <w:r w:rsidRPr="008122B1">
        <w:rPr>
          <w:rFonts w:ascii="Palatino Linotype" w:hAnsi="Palatino Linotype" w:cs="Arial"/>
          <w:b/>
          <w:color w:val="000000"/>
          <w:sz w:val="32"/>
          <w:szCs w:val="32"/>
        </w:rPr>
        <w:t xml:space="preserve">W SPRAWIE ORGANIZACJI </w:t>
      </w:r>
    </w:p>
    <w:p w:rsidR="008122B1" w:rsidRPr="008122B1" w:rsidRDefault="0055092F">
      <w:pPr>
        <w:spacing w:after="60" w:line="360" w:lineRule="auto"/>
        <w:jc w:val="center"/>
        <w:rPr>
          <w:rFonts w:ascii="Palatino Linotype" w:hAnsi="Palatino Linotype" w:cs="Arial"/>
          <w:b/>
          <w:color w:val="000000"/>
          <w:sz w:val="32"/>
          <w:szCs w:val="32"/>
        </w:rPr>
      </w:pPr>
      <w:r w:rsidRPr="008122B1">
        <w:rPr>
          <w:rFonts w:ascii="Palatino Linotype" w:hAnsi="Palatino Linotype" w:cs="Arial"/>
          <w:b/>
          <w:color w:val="000000"/>
          <w:sz w:val="32"/>
          <w:szCs w:val="32"/>
        </w:rPr>
        <w:t xml:space="preserve">I ZAKRESU DZIAŁANIA SKŁADNICY AKT </w:t>
      </w:r>
    </w:p>
    <w:p w:rsidR="008122B1" w:rsidRPr="008122B1" w:rsidRDefault="008122B1">
      <w:pPr>
        <w:spacing w:after="60" w:line="360" w:lineRule="auto"/>
        <w:jc w:val="center"/>
        <w:rPr>
          <w:rFonts w:ascii="Palatino Linotype" w:hAnsi="Palatino Linotype" w:cs="Arial"/>
          <w:b/>
          <w:color w:val="000000"/>
          <w:sz w:val="32"/>
          <w:szCs w:val="32"/>
        </w:rPr>
      </w:pPr>
      <w:r w:rsidRPr="008122B1">
        <w:rPr>
          <w:rFonts w:ascii="Palatino Linotype" w:hAnsi="Palatino Linotype" w:cs="Arial"/>
          <w:b/>
          <w:color w:val="000000"/>
          <w:sz w:val="32"/>
          <w:szCs w:val="32"/>
        </w:rPr>
        <w:t>MIEJSKIEGO  PRZEDSZKOLA  NR  37</w:t>
      </w:r>
    </w:p>
    <w:p w:rsidR="0055092F" w:rsidRDefault="008122B1">
      <w:pPr>
        <w:spacing w:after="60" w:line="360" w:lineRule="auto"/>
        <w:jc w:val="center"/>
        <w:rPr>
          <w:rFonts w:ascii="Palatino Linotype" w:hAnsi="Palatino Linotype" w:cs="Arial"/>
          <w:b/>
          <w:color w:val="000000"/>
          <w:sz w:val="22"/>
          <w:szCs w:val="22"/>
        </w:rPr>
      </w:pPr>
      <w:r w:rsidRPr="008122B1">
        <w:rPr>
          <w:rFonts w:ascii="Palatino Linotype" w:hAnsi="Palatino Linotype" w:cs="Arial"/>
          <w:b/>
          <w:color w:val="000000"/>
          <w:sz w:val="32"/>
          <w:szCs w:val="32"/>
        </w:rPr>
        <w:t>W  CZĘSTOCHOWIE</w:t>
      </w:r>
      <w:r w:rsidR="0055092F" w:rsidRPr="008122B1">
        <w:rPr>
          <w:rFonts w:ascii="Palatino Linotype" w:hAnsi="Palatino Linotype" w:cs="Arial"/>
          <w:b/>
          <w:color w:val="000000"/>
          <w:sz w:val="32"/>
          <w:szCs w:val="32"/>
        </w:rPr>
        <w:br/>
      </w:r>
    </w:p>
    <w:p w:rsidR="0055092F" w:rsidRDefault="0055092F">
      <w:pPr>
        <w:pageBreakBefore/>
        <w:spacing w:after="200" w:line="276" w:lineRule="auto"/>
        <w:rPr>
          <w:rFonts w:ascii="Palatino Linotype" w:hAnsi="Palatino Linotype" w:cs="Arial"/>
          <w:b/>
          <w:color w:val="000000"/>
          <w:sz w:val="22"/>
          <w:szCs w:val="22"/>
        </w:rPr>
      </w:pPr>
    </w:p>
    <w:p w:rsidR="0055092F" w:rsidRDefault="0055092F">
      <w:pPr>
        <w:spacing w:before="120" w:after="120"/>
        <w:jc w:val="both"/>
        <w:rPr>
          <w:rFonts w:ascii="Palatino Linotype" w:hAnsi="Palatino Linotype" w:cs="Arial"/>
          <w:b/>
          <w:sz w:val="22"/>
          <w:szCs w:val="22"/>
          <w:u w:val="single"/>
        </w:rPr>
      </w:pPr>
      <w:r>
        <w:rPr>
          <w:rFonts w:ascii="Palatino Linotype" w:hAnsi="Palatino Linotype" w:cs="Arial"/>
          <w:b/>
          <w:sz w:val="22"/>
          <w:szCs w:val="22"/>
          <w:u w:val="single"/>
        </w:rPr>
        <w:t>SPIS TREŚCI:</w:t>
      </w:r>
    </w:p>
    <w:p w:rsidR="0055092F" w:rsidRDefault="0055092F">
      <w:pPr>
        <w:spacing w:before="120" w:after="120"/>
        <w:jc w:val="both"/>
        <w:rPr>
          <w:rFonts w:ascii="Palatino Linotype" w:hAnsi="Palatino Linotype" w:cs="Arial"/>
          <w:b/>
          <w:sz w:val="22"/>
          <w:szCs w:val="22"/>
          <w:u w:val="single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1870"/>
        <w:gridCol w:w="6240"/>
        <w:gridCol w:w="520"/>
        <w:gridCol w:w="582"/>
      </w:tblGrid>
      <w:tr w:rsidR="0055092F">
        <w:trPr>
          <w:trHeight w:val="851"/>
        </w:trPr>
        <w:tc>
          <w:tcPr>
            <w:tcW w:w="1870" w:type="dxa"/>
            <w:shd w:val="clear" w:color="auto" w:fill="auto"/>
          </w:tcPr>
          <w:p w:rsidR="0055092F" w:rsidRDefault="0055092F">
            <w:pPr>
              <w:autoSpaceDE w:val="0"/>
              <w:rPr>
                <w:rFonts w:ascii="Palatino Linotype" w:hAnsi="Palatino Linotype" w:cs="Palatino Linotype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</w:rPr>
              <w:t>ROZDZIAŁ 1</w:t>
            </w:r>
          </w:p>
        </w:tc>
        <w:tc>
          <w:tcPr>
            <w:tcW w:w="6240" w:type="dxa"/>
            <w:shd w:val="clear" w:color="auto" w:fill="auto"/>
          </w:tcPr>
          <w:p w:rsidR="0055092F" w:rsidRDefault="0055092F">
            <w:pPr>
              <w:autoSpaceDE w:val="0"/>
            </w:pPr>
            <w:r>
              <w:rPr>
                <w:rFonts w:ascii="Palatino Linotype" w:hAnsi="Palatino Linotype" w:cs="Palatino Linotype"/>
                <w:szCs w:val="22"/>
              </w:rPr>
              <w:t>Przepisy ogólne</w:t>
            </w:r>
          </w:p>
        </w:tc>
        <w:tc>
          <w:tcPr>
            <w:tcW w:w="520" w:type="dxa"/>
            <w:shd w:val="clear" w:color="auto" w:fill="auto"/>
          </w:tcPr>
          <w:p w:rsidR="0055092F" w:rsidRDefault="0055092F">
            <w:pPr>
              <w:autoSpaceDE w:val="0"/>
              <w:snapToGrid w:val="0"/>
            </w:pPr>
          </w:p>
        </w:tc>
        <w:tc>
          <w:tcPr>
            <w:tcW w:w="582" w:type="dxa"/>
            <w:shd w:val="clear" w:color="auto" w:fill="auto"/>
          </w:tcPr>
          <w:p w:rsidR="0055092F" w:rsidRDefault="0055092F">
            <w:pPr>
              <w:autoSpaceDE w:val="0"/>
              <w:snapToGrid w:val="0"/>
              <w:jc w:val="right"/>
            </w:pPr>
          </w:p>
        </w:tc>
      </w:tr>
      <w:tr w:rsidR="0055092F">
        <w:trPr>
          <w:trHeight w:val="851"/>
        </w:trPr>
        <w:tc>
          <w:tcPr>
            <w:tcW w:w="1870" w:type="dxa"/>
            <w:shd w:val="clear" w:color="auto" w:fill="auto"/>
          </w:tcPr>
          <w:p w:rsidR="0055092F" w:rsidRDefault="0055092F">
            <w:pPr>
              <w:autoSpaceDE w:val="0"/>
              <w:rPr>
                <w:rFonts w:ascii="Palatino Linotype" w:hAnsi="Palatino Linotype" w:cs="Palatino Linotype"/>
              </w:rPr>
            </w:pPr>
            <w:r>
              <w:rPr>
                <w:rFonts w:ascii="Palatino Linotype" w:hAnsi="Palatino Linotype" w:cs="Palatino Linotype"/>
                <w:b/>
                <w:bCs/>
              </w:rPr>
              <w:t>ROZDZIAŁ 2</w:t>
            </w:r>
          </w:p>
        </w:tc>
        <w:tc>
          <w:tcPr>
            <w:tcW w:w="6240" w:type="dxa"/>
            <w:shd w:val="clear" w:color="auto" w:fill="auto"/>
          </w:tcPr>
          <w:p w:rsidR="0055092F" w:rsidRDefault="0055092F">
            <w:pPr>
              <w:autoSpaceDE w:val="0"/>
            </w:pPr>
            <w:r>
              <w:rPr>
                <w:rFonts w:ascii="Palatino Linotype" w:hAnsi="Palatino Linotype" w:cs="Palatino Linotype"/>
              </w:rPr>
              <w:t>Organizacja i zadania składnicy akt</w:t>
            </w:r>
          </w:p>
        </w:tc>
        <w:tc>
          <w:tcPr>
            <w:tcW w:w="520" w:type="dxa"/>
            <w:shd w:val="clear" w:color="auto" w:fill="auto"/>
          </w:tcPr>
          <w:p w:rsidR="0055092F" w:rsidRDefault="0055092F">
            <w:pPr>
              <w:autoSpaceDE w:val="0"/>
              <w:snapToGrid w:val="0"/>
            </w:pPr>
          </w:p>
        </w:tc>
        <w:tc>
          <w:tcPr>
            <w:tcW w:w="582" w:type="dxa"/>
            <w:shd w:val="clear" w:color="auto" w:fill="auto"/>
          </w:tcPr>
          <w:p w:rsidR="0055092F" w:rsidRDefault="0055092F">
            <w:pPr>
              <w:autoSpaceDE w:val="0"/>
              <w:snapToGrid w:val="0"/>
              <w:jc w:val="right"/>
            </w:pPr>
          </w:p>
        </w:tc>
      </w:tr>
      <w:tr w:rsidR="0055092F">
        <w:trPr>
          <w:trHeight w:val="851"/>
        </w:trPr>
        <w:tc>
          <w:tcPr>
            <w:tcW w:w="1870" w:type="dxa"/>
            <w:shd w:val="clear" w:color="auto" w:fill="auto"/>
          </w:tcPr>
          <w:p w:rsidR="0055092F" w:rsidRDefault="0055092F">
            <w:pPr>
              <w:autoSpaceDE w:val="0"/>
              <w:rPr>
                <w:rFonts w:ascii="Palatino Linotype" w:hAnsi="Palatino Linotype" w:cs="Palatino Linotype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Cs w:val="22"/>
              </w:rPr>
              <w:t xml:space="preserve">ROZDZIAŁ 3    </w:t>
            </w:r>
          </w:p>
        </w:tc>
        <w:tc>
          <w:tcPr>
            <w:tcW w:w="6240" w:type="dxa"/>
            <w:shd w:val="clear" w:color="auto" w:fill="auto"/>
          </w:tcPr>
          <w:p w:rsidR="0055092F" w:rsidRDefault="0055092F">
            <w:pPr>
              <w:autoSpaceDE w:val="0"/>
            </w:pPr>
            <w:r>
              <w:rPr>
                <w:rFonts w:ascii="Palatino Linotype" w:hAnsi="Palatino Linotype" w:cs="Palatino Linotype"/>
                <w:szCs w:val="22"/>
              </w:rPr>
              <w:t>Obsada składnicy akt</w:t>
            </w:r>
          </w:p>
        </w:tc>
        <w:tc>
          <w:tcPr>
            <w:tcW w:w="520" w:type="dxa"/>
            <w:shd w:val="clear" w:color="auto" w:fill="auto"/>
          </w:tcPr>
          <w:p w:rsidR="0055092F" w:rsidRDefault="0055092F">
            <w:pPr>
              <w:snapToGrid w:val="0"/>
            </w:pPr>
          </w:p>
        </w:tc>
        <w:tc>
          <w:tcPr>
            <w:tcW w:w="582" w:type="dxa"/>
            <w:shd w:val="clear" w:color="auto" w:fill="auto"/>
          </w:tcPr>
          <w:p w:rsidR="0055092F" w:rsidRDefault="0055092F">
            <w:pPr>
              <w:autoSpaceDE w:val="0"/>
              <w:snapToGrid w:val="0"/>
              <w:jc w:val="right"/>
            </w:pPr>
          </w:p>
        </w:tc>
      </w:tr>
      <w:tr w:rsidR="0055092F">
        <w:trPr>
          <w:trHeight w:val="851"/>
        </w:trPr>
        <w:tc>
          <w:tcPr>
            <w:tcW w:w="1870" w:type="dxa"/>
            <w:shd w:val="clear" w:color="auto" w:fill="auto"/>
          </w:tcPr>
          <w:p w:rsidR="0055092F" w:rsidRDefault="0055092F">
            <w:pPr>
              <w:autoSpaceDE w:val="0"/>
              <w:rPr>
                <w:rFonts w:ascii="Palatino Linotype" w:hAnsi="Palatino Linotype" w:cs="Palatino Linotype"/>
              </w:rPr>
            </w:pPr>
            <w:r>
              <w:rPr>
                <w:rFonts w:ascii="Palatino Linotype" w:hAnsi="Palatino Linotype" w:cs="Palatino Linotype"/>
                <w:b/>
                <w:bCs/>
              </w:rPr>
              <w:t xml:space="preserve">ROZDZIAŁ 4     </w:t>
            </w:r>
          </w:p>
        </w:tc>
        <w:tc>
          <w:tcPr>
            <w:tcW w:w="6240" w:type="dxa"/>
            <w:shd w:val="clear" w:color="auto" w:fill="auto"/>
          </w:tcPr>
          <w:p w:rsidR="0055092F" w:rsidRDefault="0055092F">
            <w:pPr>
              <w:pStyle w:val="Nagwek"/>
              <w:autoSpaceDE w:val="0"/>
            </w:pPr>
            <w:r>
              <w:rPr>
                <w:rFonts w:ascii="Palatino Linotype" w:hAnsi="Palatino Linotype" w:cs="Palatino Linotype"/>
              </w:rPr>
              <w:t>Lokal składnicy akt</w:t>
            </w:r>
          </w:p>
        </w:tc>
        <w:tc>
          <w:tcPr>
            <w:tcW w:w="520" w:type="dxa"/>
            <w:shd w:val="clear" w:color="auto" w:fill="auto"/>
          </w:tcPr>
          <w:p w:rsidR="0055092F" w:rsidRDefault="0055092F">
            <w:pPr>
              <w:snapToGrid w:val="0"/>
            </w:pPr>
          </w:p>
        </w:tc>
        <w:tc>
          <w:tcPr>
            <w:tcW w:w="582" w:type="dxa"/>
            <w:shd w:val="clear" w:color="auto" w:fill="auto"/>
          </w:tcPr>
          <w:p w:rsidR="0055092F" w:rsidRDefault="0055092F">
            <w:pPr>
              <w:autoSpaceDE w:val="0"/>
              <w:snapToGrid w:val="0"/>
              <w:jc w:val="right"/>
            </w:pPr>
          </w:p>
        </w:tc>
      </w:tr>
      <w:tr w:rsidR="0055092F">
        <w:trPr>
          <w:trHeight w:val="851"/>
        </w:trPr>
        <w:tc>
          <w:tcPr>
            <w:tcW w:w="1870" w:type="dxa"/>
            <w:shd w:val="clear" w:color="auto" w:fill="auto"/>
          </w:tcPr>
          <w:p w:rsidR="0055092F" w:rsidRDefault="0055092F">
            <w:pPr>
              <w:autoSpaceDE w:val="0"/>
              <w:rPr>
                <w:rFonts w:ascii="Palatino Linotype" w:hAnsi="Palatino Linotype" w:cs="Palatino Linotype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Cs w:val="22"/>
              </w:rPr>
              <w:t xml:space="preserve">ROZDZIAŁ 5      </w:t>
            </w:r>
          </w:p>
        </w:tc>
        <w:tc>
          <w:tcPr>
            <w:tcW w:w="6240" w:type="dxa"/>
            <w:shd w:val="clear" w:color="auto" w:fill="auto"/>
          </w:tcPr>
          <w:p w:rsidR="0055092F" w:rsidRDefault="0055092F">
            <w:pPr>
              <w:autoSpaceDE w:val="0"/>
            </w:pPr>
            <w:r>
              <w:rPr>
                <w:rFonts w:ascii="Palatino Linotype" w:hAnsi="Palatino Linotype" w:cs="Palatino Linotype"/>
                <w:szCs w:val="22"/>
              </w:rPr>
              <w:t>Przejmowanie dokumentacji do składnicy akt</w:t>
            </w:r>
          </w:p>
        </w:tc>
        <w:tc>
          <w:tcPr>
            <w:tcW w:w="520" w:type="dxa"/>
            <w:shd w:val="clear" w:color="auto" w:fill="auto"/>
          </w:tcPr>
          <w:p w:rsidR="0055092F" w:rsidRDefault="0055092F">
            <w:pPr>
              <w:snapToGrid w:val="0"/>
            </w:pPr>
          </w:p>
        </w:tc>
        <w:tc>
          <w:tcPr>
            <w:tcW w:w="582" w:type="dxa"/>
            <w:shd w:val="clear" w:color="auto" w:fill="auto"/>
          </w:tcPr>
          <w:p w:rsidR="0055092F" w:rsidRDefault="0055092F">
            <w:pPr>
              <w:autoSpaceDE w:val="0"/>
              <w:snapToGrid w:val="0"/>
              <w:jc w:val="right"/>
            </w:pPr>
          </w:p>
        </w:tc>
      </w:tr>
      <w:tr w:rsidR="0055092F">
        <w:trPr>
          <w:trHeight w:val="851"/>
        </w:trPr>
        <w:tc>
          <w:tcPr>
            <w:tcW w:w="1870" w:type="dxa"/>
            <w:shd w:val="clear" w:color="auto" w:fill="auto"/>
          </w:tcPr>
          <w:p w:rsidR="0055092F" w:rsidRDefault="0055092F">
            <w:pPr>
              <w:autoSpaceDE w:val="0"/>
              <w:rPr>
                <w:rFonts w:ascii="Palatino Linotype" w:hAnsi="Palatino Linotype" w:cs="Palatino Linotype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Cs w:val="22"/>
              </w:rPr>
              <w:t xml:space="preserve">ROZDZIAŁ 6     </w:t>
            </w:r>
          </w:p>
        </w:tc>
        <w:tc>
          <w:tcPr>
            <w:tcW w:w="6240" w:type="dxa"/>
            <w:shd w:val="clear" w:color="auto" w:fill="auto"/>
          </w:tcPr>
          <w:p w:rsidR="0055092F" w:rsidRDefault="0055092F">
            <w:pPr>
              <w:autoSpaceDE w:val="0"/>
            </w:pPr>
            <w:r>
              <w:rPr>
                <w:rFonts w:ascii="Palatino Linotype" w:hAnsi="Palatino Linotype" w:cs="Palatino Linotype"/>
                <w:szCs w:val="22"/>
              </w:rPr>
              <w:t>Przechowywanie i zabezpieczanie zgromadzonej dokumentacji oraz prowadzenie jej ewidencji</w:t>
            </w:r>
          </w:p>
        </w:tc>
        <w:tc>
          <w:tcPr>
            <w:tcW w:w="520" w:type="dxa"/>
            <w:shd w:val="clear" w:color="auto" w:fill="auto"/>
          </w:tcPr>
          <w:p w:rsidR="0055092F" w:rsidRDefault="0055092F">
            <w:pPr>
              <w:snapToGrid w:val="0"/>
            </w:pPr>
          </w:p>
        </w:tc>
        <w:tc>
          <w:tcPr>
            <w:tcW w:w="582" w:type="dxa"/>
            <w:shd w:val="clear" w:color="auto" w:fill="auto"/>
          </w:tcPr>
          <w:p w:rsidR="0055092F" w:rsidRDefault="0055092F">
            <w:pPr>
              <w:autoSpaceDE w:val="0"/>
              <w:snapToGrid w:val="0"/>
              <w:jc w:val="right"/>
            </w:pPr>
          </w:p>
        </w:tc>
      </w:tr>
      <w:tr w:rsidR="0055092F">
        <w:trPr>
          <w:trHeight w:val="851"/>
        </w:trPr>
        <w:tc>
          <w:tcPr>
            <w:tcW w:w="1870" w:type="dxa"/>
            <w:shd w:val="clear" w:color="auto" w:fill="auto"/>
          </w:tcPr>
          <w:p w:rsidR="0055092F" w:rsidRDefault="0055092F">
            <w:pPr>
              <w:autoSpaceDE w:val="0"/>
              <w:rPr>
                <w:rFonts w:ascii="Palatino Linotype" w:hAnsi="Palatino Linotype" w:cs="Palatino Linotype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Cs w:val="22"/>
              </w:rPr>
              <w:t xml:space="preserve">ROZDZIAŁ 7    </w:t>
            </w:r>
          </w:p>
        </w:tc>
        <w:tc>
          <w:tcPr>
            <w:tcW w:w="6240" w:type="dxa"/>
            <w:shd w:val="clear" w:color="auto" w:fill="auto"/>
          </w:tcPr>
          <w:p w:rsidR="0055092F" w:rsidRDefault="0055092F">
            <w:pPr>
              <w:autoSpaceDE w:val="0"/>
            </w:pPr>
            <w:r>
              <w:rPr>
                <w:rFonts w:ascii="Palatino Linotype" w:hAnsi="Palatino Linotype" w:cs="Palatino Linotype"/>
                <w:szCs w:val="22"/>
              </w:rPr>
              <w:t>Przeprowadzanie skontrum w składnicy akt oraz porządkowanie dokumentacji w składnicy akt</w:t>
            </w:r>
          </w:p>
        </w:tc>
        <w:tc>
          <w:tcPr>
            <w:tcW w:w="520" w:type="dxa"/>
            <w:shd w:val="clear" w:color="auto" w:fill="auto"/>
          </w:tcPr>
          <w:p w:rsidR="0055092F" w:rsidRDefault="0055092F">
            <w:pPr>
              <w:snapToGrid w:val="0"/>
            </w:pPr>
          </w:p>
        </w:tc>
        <w:tc>
          <w:tcPr>
            <w:tcW w:w="582" w:type="dxa"/>
            <w:shd w:val="clear" w:color="auto" w:fill="auto"/>
          </w:tcPr>
          <w:p w:rsidR="0055092F" w:rsidRDefault="0055092F">
            <w:pPr>
              <w:autoSpaceDE w:val="0"/>
              <w:snapToGrid w:val="0"/>
              <w:jc w:val="right"/>
            </w:pPr>
          </w:p>
        </w:tc>
      </w:tr>
      <w:tr w:rsidR="0055092F">
        <w:trPr>
          <w:trHeight w:val="851"/>
        </w:trPr>
        <w:tc>
          <w:tcPr>
            <w:tcW w:w="1870" w:type="dxa"/>
            <w:shd w:val="clear" w:color="auto" w:fill="auto"/>
          </w:tcPr>
          <w:p w:rsidR="0055092F" w:rsidRDefault="0055092F">
            <w:pPr>
              <w:autoSpaceDE w:val="0"/>
              <w:rPr>
                <w:rFonts w:ascii="Palatino Linotype" w:hAnsi="Palatino Linotype" w:cs="Palatino Linotype"/>
              </w:rPr>
            </w:pPr>
            <w:r>
              <w:rPr>
                <w:rFonts w:ascii="Palatino Linotype" w:hAnsi="Palatino Linotype" w:cs="Palatino Linotype"/>
                <w:b/>
                <w:bCs/>
                <w:szCs w:val="22"/>
              </w:rPr>
              <w:t xml:space="preserve">ROZDZIAŁ 8 </w:t>
            </w:r>
          </w:p>
        </w:tc>
        <w:tc>
          <w:tcPr>
            <w:tcW w:w="6240" w:type="dxa"/>
            <w:shd w:val="clear" w:color="auto" w:fill="auto"/>
          </w:tcPr>
          <w:p w:rsidR="0055092F" w:rsidRDefault="0055092F">
            <w:pPr>
              <w:autoSpaceDE w:val="0"/>
            </w:pPr>
            <w:r>
              <w:rPr>
                <w:rFonts w:ascii="Palatino Linotype" w:hAnsi="Palatino Linotype" w:cs="Palatino Linotype"/>
              </w:rPr>
              <w:t>Udostępnianie dokumentacji ze stanu składnicy akt</w:t>
            </w:r>
          </w:p>
        </w:tc>
        <w:tc>
          <w:tcPr>
            <w:tcW w:w="520" w:type="dxa"/>
            <w:shd w:val="clear" w:color="auto" w:fill="auto"/>
          </w:tcPr>
          <w:p w:rsidR="0055092F" w:rsidRDefault="0055092F">
            <w:pPr>
              <w:snapToGrid w:val="0"/>
            </w:pPr>
          </w:p>
        </w:tc>
        <w:tc>
          <w:tcPr>
            <w:tcW w:w="582" w:type="dxa"/>
            <w:shd w:val="clear" w:color="auto" w:fill="auto"/>
          </w:tcPr>
          <w:p w:rsidR="0055092F" w:rsidRDefault="0055092F">
            <w:pPr>
              <w:autoSpaceDE w:val="0"/>
              <w:snapToGrid w:val="0"/>
              <w:jc w:val="right"/>
            </w:pPr>
          </w:p>
        </w:tc>
      </w:tr>
      <w:tr w:rsidR="0055092F">
        <w:trPr>
          <w:trHeight w:val="851"/>
        </w:trPr>
        <w:tc>
          <w:tcPr>
            <w:tcW w:w="1870" w:type="dxa"/>
            <w:shd w:val="clear" w:color="auto" w:fill="auto"/>
          </w:tcPr>
          <w:p w:rsidR="0055092F" w:rsidRDefault="0055092F">
            <w:pPr>
              <w:autoSpaceDE w:val="0"/>
              <w:rPr>
                <w:rFonts w:ascii="Palatino Linotype" w:hAnsi="Palatino Linotype" w:cs="Palatino Linotype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Cs w:val="22"/>
              </w:rPr>
              <w:t xml:space="preserve">ROZDZIAŁ 9      </w:t>
            </w:r>
          </w:p>
        </w:tc>
        <w:tc>
          <w:tcPr>
            <w:tcW w:w="6240" w:type="dxa"/>
            <w:shd w:val="clear" w:color="auto" w:fill="auto"/>
          </w:tcPr>
          <w:p w:rsidR="0055092F" w:rsidRDefault="0055092F">
            <w:pPr>
              <w:autoSpaceDE w:val="0"/>
            </w:pPr>
            <w:r>
              <w:rPr>
                <w:rFonts w:ascii="Palatino Linotype" w:hAnsi="Palatino Linotype" w:cs="Palatino Linotype"/>
                <w:szCs w:val="22"/>
              </w:rPr>
              <w:t>Wycofywanie dokumentacji ze stanu składnicy akt</w:t>
            </w:r>
          </w:p>
        </w:tc>
        <w:tc>
          <w:tcPr>
            <w:tcW w:w="520" w:type="dxa"/>
            <w:shd w:val="clear" w:color="auto" w:fill="auto"/>
          </w:tcPr>
          <w:p w:rsidR="0055092F" w:rsidRDefault="0055092F">
            <w:pPr>
              <w:snapToGrid w:val="0"/>
            </w:pPr>
          </w:p>
        </w:tc>
        <w:tc>
          <w:tcPr>
            <w:tcW w:w="582" w:type="dxa"/>
            <w:shd w:val="clear" w:color="auto" w:fill="auto"/>
          </w:tcPr>
          <w:p w:rsidR="0055092F" w:rsidRDefault="0055092F">
            <w:pPr>
              <w:autoSpaceDE w:val="0"/>
              <w:snapToGrid w:val="0"/>
              <w:jc w:val="right"/>
            </w:pPr>
          </w:p>
        </w:tc>
      </w:tr>
      <w:tr w:rsidR="0055092F">
        <w:trPr>
          <w:trHeight w:val="851"/>
        </w:trPr>
        <w:tc>
          <w:tcPr>
            <w:tcW w:w="1870" w:type="dxa"/>
            <w:shd w:val="clear" w:color="auto" w:fill="auto"/>
          </w:tcPr>
          <w:p w:rsidR="0055092F" w:rsidRDefault="0055092F">
            <w:pPr>
              <w:autoSpaceDE w:val="0"/>
              <w:rPr>
                <w:rFonts w:ascii="Palatino Linotype" w:hAnsi="Palatino Linotype" w:cs="Palatino Linotype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Cs w:val="22"/>
              </w:rPr>
              <w:t>ROZDZIAŁ 10</w:t>
            </w:r>
          </w:p>
        </w:tc>
        <w:tc>
          <w:tcPr>
            <w:tcW w:w="6240" w:type="dxa"/>
            <w:shd w:val="clear" w:color="auto" w:fill="auto"/>
          </w:tcPr>
          <w:p w:rsidR="0055092F" w:rsidRDefault="0055092F">
            <w:pPr>
              <w:autoSpaceDE w:val="0"/>
            </w:pPr>
            <w:r>
              <w:rPr>
                <w:rFonts w:ascii="Palatino Linotype" w:hAnsi="Palatino Linotype" w:cs="Palatino Linotype"/>
                <w:szCs w:val="22"/>
              </w:rPr>
              <w:t>Brakowanie dokumentacji niearchiwalnej</w:t>
            </w:r>
          </w:p>
        </w:tc>
        <w:tc>
          <w:tcPr>
            <w:tcW w:w="520" w:type="dxa"/>
            <w:shd w:val="clear" w:color="auto" w:fill="auto"/>
          </w:tcPr>
          <w:p w:rsidR="0055092F" w:rsidRDefault="0055092F">
            <w:pPr>
              <w:snapToGrid w:val="0"/>
            </w:pPr>
          </w:p>
        </w:tc>
        <w:tc>
          <w:tcPr>
            <w:tcW w:w="582" w:type="dxa"/>
            <w:shd w:val="clear" w:color="auto" w:fill="auto"/>
          </w:tcPr>
          <w:p w:rsidR="0055092F" w:rsidRDefault="0055092F">
            <w:pPr>
              <w:autoSpaceDE w:val="0"/>
              <w:snapToGrid w:val="0"/>
              <w:jc w:val="right"/>
            </w:pPr>
          </w:p>
        </w:tc>
      </w:tr>
      <w:tr w:rsidR="0055092F">
        <w:trPr>
          <w:trHeight w:val="851"/>
        </w:trPr>
        <w:tc>
          <w:tcPr>
            <w:tcW w:w="1870" w:type="dxa"/>
            <w:shd w:val="clear" w:color="auto" w:fill="auto"/>
          </w:tcPr>
          <w:p w:rsidR="0055092F" w:rsidRDefault="0055092F">
            <w:pPr>
              <w:autoSpaceDE w:val="0"/>
              <w:rPr>
                <w:rFonts w:ascii="Palatino Linotype" w:hAnsi="Palatino Linotype" w:cs="Palatino Linotype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Cs w:val="22"/>
              </w:rPr>
              <w:t>ROZDZIAŁ 11</w:t>
            </w:r>
          </w:p>
        </w:tc>
        <w:tc>
          <w:tcPr>
            <w:tcW w:w="6240" w:type="dxa"/>
            <w:shd w:val="clear" w:color="auto" w:fill="auto"/>
          </w:tcPr>
          <w:p w:rsidR="0055092F" w:rsidRDefault="0055092F">
            <w:pPr>
              <w:autoSpaceDE w:val="0"/>
            </w:pPr>
            <w:r>
              <w:rPr>
                <w:rFonts w:ascii="Palatino Linotype" w:hAnsi="Palatino Linotype" w:cs="Palatino Linotype"/>
                <w:szCs w:val="22"/>
              </w:rPr>
              <w:t>Przekazywanie materiałów archiwalnych do Archiwum Państwowego</w:t>
            </w:r>
          </w:p>
        </w:tc>
        <w:tc>
          <w:tcPr>
            <w:tcW w:w="520" w:type="dxa"/>
            <w:shd w:val="clear" w:color="auto" w:fill="auto"/>
          </w:tcPr>
          <w:p w:rsidR="0055092F" w:rsidRDefault="0055092F">
            <w:pPr>
              <w:snapToGrid w:val="0"/>
            </w:pPr>
          </w:p>
        </w:tc>
        <w:tc>
          <w:tcPr>
            <w:tcW w:w="582" w:type="dxa"/>
            <w:shd w:val="clear" w:color="auto" w:fill="auto"/>
          </w:tcPr>
          <w:p w:rsidR="0055092F" w:rsidRDefault="0055092F">
            <w:pPr>
              <w:autoSpaceDE w:val="0"/>
              <w:snapToGrid w:val="0"/>
              <w:jc w:val="right"/>
            </w:pPr>
          </w:p>
        </w:tc>
      </w:tr>
      <w:tr w:rsidR="0055092F">
        <w:trPr>
          <w:trHeight w:val="851"/>
        </w:trPr>
        <w:tc>
          <w:tcPr>
            <w:tcW w:w="1870" w:type="dxa"/>
            <w:shd w:val="clear" w:color="auto" w:fill="auto"/>
          </w:tcPr>
          <w:p w:rsidR="0055092F" w:rsidRDefault="0055092F">
            <w:pPr>
              <w:autoSpaceDE w:val="0"/>
              <w:rPr>
                <w:rFonts w:ascii="Palatino Linotype" w:hAnsi="Palatino Linotype" w:cs="Palatino Linotype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Cs w:val="22"/>
              </w:rPr>
              <w:t>ROZDZIAŁ 12</w:t>
            </w:r>
          </w:p>
        </w:tc>
        <w:tc>
          <w:tcPr>
            <w:tcW w:w="6240" w:type="dxa"/>
            <w:shd w:val="clear" w:color="auto" w:fill="auto"/>
          </w:tcPr>
          <w:p w:rsidR="0055092F" w:rsidRDefault="0055092F">
            <w:pPr>
              <w:autoSpaceDE w:val="0"/>
            </w:pPr>
            <w:r>
              <w:rPr>
                <w:rFonts w:ascii="Palatino Linotype" w:hAnsi="Palatino Linotype" w:cs="Palatino Linotype"/>
                <w:szCs w:val="22"/>
              </w:rPr>
              <w:t>Postanowienia końcowe</w:t>
            </w:r>
          </w:p>
        </w:tc>
        <w:tc>
          <w:tcPr>
            <w:tcW w:w="520" w:type="dxa"/>
            <w:shd w:val="clear" w:color="auto" w:fill="auto"/>
          </w:tcPr>
          <w:p w:rsidR="0055092F" w:rsidRDefault="0055092F">
            <w:pPr>
              <w:snapToGrid w:val="0"/>
            </w:pPr>
          </w:p>
        </w:tc>
        <w:tc>
          <w:tcPr>
            <w:tcW w:w="582" w:type="dxa"/>
            <w:shd w:val="clear" w:color="auto" w:fill="auto"/>
          </w:tcPr>
          <w:p w:rsidR="0055092F" w:rsidRDefault="0055092F">
            <w:pPr>
              <w:autoSpaceDE w:val="0"/>
              <w:snapToGrid w:val="0"/>
              <w:jc w:val="right"/>
            </w:pPr>
          </w:p>
        </w:tc>
      </w:tr>
      <w:tr w:rsidR="0055092F">
        <w:trPr>
          <w:trHeight w:val="851"/>
        </w:trPr>
        <w:tc>
          <w:tcPr>
            <w:tcW w:w="1870" w:type="dxa"/>
            <w:shd w:val="clear" w:color="auto" w:fill="auto"/>
          </w:tcPr>
          <w:p w:rsidR="0055092F" w:rsidRDefault="0055092F">
            <w:pPr>
              <w:autoSpaceDE w:val="0"/>
              <w:rPr>
                <w:rFonts w:ascii="Palatino Linotype" w:hAnsi="Palatino Linotype" w:cs="Palatino Linotype"/>
                <w:szCs w:val="22"/>
              </w:rPr>
            </w:pPr>
            <w:r>
              <w:rPr>
                <w:rFonts w:ascii="Palatino Linotype" w:hAnsi="Palatino Linotype" w:cs="Palatino Linotype"/>
                <w:szCs w:val="22"/>
              </w:rPr>
              <w:t>Załącznik nr 1 do instrukcji archiwalnej</w:t>
            </w:r>
          </w:p>
        </w:tc>
        <w:tc>
          <w:tcPr>
            <w:tcW w:w="6240" w:type="dxa"/>
            <w:shd w:val="clear" w:color="auto" w:fill="auto"/>
          </w:tcPr>
          <w:p w:rsidR="0055092F" w:rsidRDefault="0055092F">
            <w:pPr>
              <w:autoSpaceDE w:val="0"/>
            </w:pPr>
            <w:r>
              <w:rPr>
                <w:rFonts w:ascii="Palatino Linotype" w:hAnsi="Palatino Linotype" w:cs="Palatino Linotype"/>
                <w:szCs w:val="22"/>
              </w:rPr>
              <w:t>Warunki wilgotności i temperatury</w:t>
            </w:r>
            <w:r>
              <w:rPr>
                <w:rFonts w:ascii="Palatino Linotype" w:hAnsi="Palatino Linotype" w:cs="Palatino Linotype"/>
                <w:szCs w:val="22"/>
              </w:rPr>
              <w:br/>
              <w:t>w pomieszczeniach magazynowych składnicy akt</w:t>
            </w:r>
          </w:p>
        </w:tc>
        <w:tc>
          <w:tcPr>
            <w:tcW w:w="520" w:type="dxa"/>
            <w:shd w:val="clear" w:color="auto" w:fill="auto"/>
          </w:tcPr>
          <w:p w:rsidR="0055092F" w:rsidRDefault="0055092F">
            <w:pPr>
              <w:snapToGrid w:val="0"/>
            </w:pPr>
          </w:p>
        </w:tc>
        <w:tc>
          <w:tcPr>
            <w:tcW w:w="582" w:type="dxa"/>
            <w:shd w:val="clear" w:color="auto" w:fill="auto"/>
          </w:tcPr>
          <w:p w:rsidR="0055092F" w:rsidRDefault="0055092F">
            <w:pPr>
              <w:autoSpaceDE w:val="0"/>
              <w:snapToGrid w:val="0"/>
              <w:jc w:val="right"/>
            </w:pPr>
          </w:p>
        </w:tc>
      </w:tr>
    </w:tbl>
    <w:p w:rsidR="0055092F" w:rsidRDefault="0055092F">
      <w:pPr>
        <w:spacing w:before="120" w:after="120"/>
        <w:jc w:val="both"/>
        <w:rPr>
          <w:rFonts w:ascii="Palatino Linotype" w:hAnsi="Palatino Linotype" w:cs="Palatino Linotype"/>
          <w:b/>
          <w:bCs/>
        </w:rPr>
      </w:pPr>
    </w:p>
    <w:p w:rsidR="0055092F" w:rsidRDefault="0055092F">
      <w:pPr>
        <w:spacing w:after="200" w:line="276" w:lineRule="auto"/>
        <w:jc w:val="center"/>
        <w:rPr>
          <w:rFonts w:ascii="Palatino Linotype" w:hAnsi="Palatino Linotype" w:cs="Palatino Linotype"/>
          <w:b/>
          <w:bCs/>
          <w:sz w:val="22"/>
        </w:rPr>
      </w:pPr>
    </w:p>
    <w:p w:rsidR="0055092F" w:rsidRDefault="0055092F">
      <w:pPr>
        <w:spacing w:after="200" w:line="276" w:lineRule="auto"/>
        <w:jc w:val="center"/>
        <w:rPr>
          <w:rFonts w:ascii="Palatino Linotype" w:hAnsi="Palatino Linotype" w:cs="Palatino Linotype"/>
          <w:b/>
          <w:bCs/>
          <w:sz w:val="22"/>
        </w:rPr>
      </w:pPr>
    </w:p>
    <w:p w:rsidR="0055092F" w:rsidRDefault="0055092F">
      <w:pPr>
        <w:spacing w:after="200" w:line="276" w:lineRule="auto"/>
        <w:jc w:val="center"/>
        <w:rPr>
          <w:rFonts w:ascii="Palatino Linotype" w:hAnsi="Palatino Linotype" w:cs="Palatino Linotype"/>
          <w:sz w:val="22"/>
        </w:rPr>
      </w:pPr>
      <w:r>
        <w:rPr>
          <w:rFonts w:ascii="Palatino Linotype" w:hAnsi="Palatino Linotype" w:cs="Palatino Linotype"/>
          <w:b/>
          <w:bCs/>
          <w:sz w:val="22"/>
        </w:rPr>
        <w:lastRenderedPageBreak/>
        <w:t>ROZDZIAŁ 1</w:t>
      </w:r>
    </w:p>
    <w:p w:rsidR="0055092F" w:rsidRDefault="0055092F">
      <w:pPr>
        <w:pStyle w:val="Nagwek2"/>
        <w:spacing w:before="0"/>
        <w:jc w:val="center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 w:cs="Palatino Linotype"/>
          <w:i w:val="0"/>
          <w:sz w:val="22"/>
          <w:szCs w:val="24"/>
        </w:rPr>
        <w:t>Przepisy</w:t>
      </w:r>
      <w:r>
        <w:rPr>
          <w:rFonts w:ascii="Palatino Linotype" w:hAnsi="Palatino Linotype" w:cs="Palatino Linotype"/>
          <w:sz w:val="22"/>
          <w:szCs w:val="24"/>
        </w:rPr>
        <w:t xml:space="preserve"> </w:t>
      </w:r>
      <w:r>
        <w:rPr>
          <w:rFonts w:ascii="Palatino Linotype" w:hAnsi="Palatino Linotype" w:cs="Palatino Linotype"/>
          <w:i w:val="0"/>
          <w:sz w:val="22"/>
          <w:szCs w:val="24"/>
        </w:rPr>
        <w:t>ogólne</w:t>
      </w:r>
    </w:p>
    <w:p w:rsidR="0055092F" w:rsidRDefault="0055092F">
      <w:pPr>
        <w:jc w:val="center"/>
        <w:rPr>
          <w:rFonts w:ascii="Palatino Linotype" w:hAnsi="Palatino Linotype" w:cs="Arial"/>
          <w:sz w:val="22"/>
          <w:szCs w:val="22"/>
        </w:rPr>
      </w:pPr>
    </w:p>
    <w:p w:rsidR="0055092F" w:rsidRDefault="0055092F">
      <w:pPr>
        <w:pStyle w:val="NormalnyWeb"/>
        <w:spacing w:before="0" w:after="120"/>
        <w:jc w:val="center"/>
        <w:rPr>
          <w:rFonts w:ascii="Palatino Linotype" w:hAnsi="Palatino Linotype" w:cs="Palatino Linotype"/>
          <w:bCs/>
          <w:sz w:val="22"/>
          <w:szCs w:val="22"/>
        </w:rPr>
      </w:pPr>
      <w:r>
        <w:rPr>
          <w:rFonts w:ascii="Palatino Linotype" w:hAnsi="Palatino Linotype" w:cs="Arial"/>
          <w:b/>
          <w:sz w:val="22"/>
          <w:szCs w:val="22"/>
        </w:rPr>
        <w:t>§ 1.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Cs/>
          <w:sz w:val="22"/>
          <w:szCs w:val="22"/>
        </w:rPr>
        <w:t>Instrukcja o organizacji i zakresie działania składnicy akt zwana dalej „instrukcją archiwalną”, określa organizację, zadania i zakres działania składnicy akt w</w:t>
      </w:r>
      <w:r w:rsidR="008122B1">
        <w:rPr>
          <w:rFonts w:ascii="Palatino Linotype" w:hAnsi="Palatino Linotype" w:cs="Palatino Linotype"/>
          <w:bCs/>
          <w:sz w:val="22"/>
          <w:szCs w:val="22"/>
        </w:rPr>
        <w:t xml:space="preserve"> Miejskim Przedszkolu Nr 37 w Częstochowie</w:t>
      </w:r>
      <w:r>
        <w:rPr>
          <w:rFonts w:ascii="Palatino Linotype" w:hAnsi="Palatino Linotype" w:cs="Palatino Linotype"/>
          <w:sz w:val="22"/>
          <w:szCs w:val="22"/>
        </w:rPr>
        <w:t xml:space="preserve">, zwana dalej </w:t>
      </w:r>
      <w:r>
        <w:rPr>
          <w:rFonts w:ascii="Palatino Linotype" w:hAnsi="Palatino Linotype" w:cs="Palatino Linotype"/>
          <w:bCs/>
          <w:sz w:val="22"/>
          <w:szCs w:val="22"/>
        </w:rPr>
        <w:t xml:space="preserve"> </w:t>
      </w:r>
      <w:r w:rsidR="008122B1" w:rsidRPr="008122B1">
        <w:rPr>
          <w:rFonts w:ascii="Palatino Linotype" w:hAnsi="Palatino Linotype" w:cs="Palatino Linotype"/>
          <w:b/>
          <w:bCs/>
          <w:sz w:val="22"/>
          <w:szCs w:val="22"/>
        </w:rPr>
        <w:t>MP37</w:t>
      </w:r>
      <w:r>
        <w:rPr>
          <w:rFonts w:ascii="Palatino Linotype" w:hAnsi="Palatino Linotype" w:cs="Palatino Linotype"/>
          <w:sz w:val="22"/>
          <w:szCs w:val="22"/>
        </w:rPr>
        <w:t xml:space="preserve">, </w:t>
      </w:r>
      <w:r>
        <w:rPr>
          <w:rFonts w:ascii="Palatino Linotype" w:hAnsi="Palatino Linotype" w:cs="Palatino Linotype"/>
          <w:bCs/>
          <w:sz w:val="22"/>
          <w:szCs w:val="22"/>
        </w:rPr>
        <w:t>oraz postępowanie w składnicy akt z wszelką dokumentacją spraw zakończonych, niezależnie od techniki jej wytwarzania, postaci fizycznej oraz informacji w niej zawartych</w:t>
      </w:r>
      <w:r>
        <w:rPr>
          <w:rFonts w:ascii="Palatino Linotype" w:hAnsi="Palatino Linotype" w:cs="Palatino Linotype"/>
          <w:sz w:val="22"/>
          <w:szCs w:val="22"/>
        </w:rPr>
        <w:t>.</w:t>
      </w:r>
    </w:p>
    <w:p w:rsidR="0055092F" w:rsidRDefault="0055092F">
      <w:pPr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12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Arial"/>
          <w:b/>
          <w:sz w:val="22"/>
          <w:szCs w:val="22"/>
        </w:rPr>
        <w:t>§ 2.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Użyte w instrukcji archiwalnej określenia oznaczają: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2531"/>
        <w:gridCol w:w="6683"/>
      </w:tblGrid>
      <w:tr w:rsidR="0055092F">
        <w:trPr>
          <w:trHeight w:val="561"/>
        </w:trPr>
        <w:tc>
          <w:tcPr>
            <w:tcW w:w="425" w:type="dxa"/>
            <w:shd w:val="clear" w:color="auto" w:fill="auto"/>
          </w:tcPr>
          <w:p w:rsidR="0055092F" w:rsidRDefault="0055092F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="Palatino Linotype" w:hAnsi="Palatino Linotype" w:cs="Palatino Linotype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55092F" w:rsidRDefault="0055092F">
            <w:pPr>
              <w:spacing w:before="40" w:after="40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sz w:val="22"/>
                <w:szCs w:val="22"/>
              </w:rPr>
              <w:t>archiwista</w:t>
            </w:r>
          </w:p>
        </w:tc>
        <w:tc>
          <w:tcPr>
            <w:tcW w:w="6683" w:type="dxa"/>
            <w:shd w:val="clear" w:color="auto" w:fill="auto"/>
          </w:tcPr>
          <w:p w:rsidR="0055092F" w:rsidRDefault="0055092F">
            <w:pPr>
              <w:numPr>
                <w:ilvl w:val="0"/>
                <w:numId w:val="18"/>
              </w:numPr>
              <w:spacing w:before="40" w:after="40"/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pracownika lub pracowników realizujących zadania składnicy akt;</w:t>
            </w:r>
          </w:p>
        </w:tc>
      </w:tr>
      <w:tr w:rsidR="0055092F">
        <w:trPr>
          <w:trHeight w:val="561"/>
        </w:trPr>
        <w:tc>
          <w:tcPr>
            <w:tcW w:w="425" w:type="dxa"/>
            <w:shd w:val="clear" w:color="auto" w:fill="auto"/>
          </w:tcPr>
          <w:p w:rsidR="0055092F" w:rsidRDefault="0055092F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="Palatino Linotype" w:hAnsi="Palatino Linotype" w:cs="Palatino Linotype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55092F" w:rsidRDefault="0055092F">
            <w:pPr>
              <w:spacing w:before="40" w:after="40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color w:val="000000"/>
                <w:spacing w:val="6"/>
                <w:sz w:val="22"/>
                <w:szCs w:val="22"/>
              </w:rPr>
              <w:t>informatyczny nośnik danych</w:t>
            </w:r>
          </w:p>
        </w:tc>
        <w:tc>
          <w:tcPr>
            <w:tcW w:w="6683" w:type="dxa"/>
            <w:shd w:val="clear" w:color="auto" w:fill="auto"/>
          </w:tcPr>
          <w:p w:rsidR="0055092F" w:rsidRDefault="0055092F">
            <w:pPr>
              <w:numPr>
                <w:ilvl w:val="0"/>
                <w:numId w:val="18"/>
              </w:numPr>
              <w:spacing w:before="40" w:after="40"/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informatyczny nośnik danych, na którym zapisano dokumentację w postaci elektronicznej</w:t>
            </w:r>
            <w:r w:rsidR="008122B1">
              <w:rPr>
                <w:rFonts w:ascii="Palatino Linotype" w:hAnsi="Palatino Linotype" w:cs="Palatino Linotype"/>
                <w:sz w:val="22"/>
                <w:szCs w:val="22"/>
              </w:rPr>
              <w:t>;</w:t>
            </w:r>
          </w:p>
        </w:tc>
      </w:tr>
      <w:tr w:rsidR="0055092F">
        <w:trPr>
          <w:trHeight w:val="561"/>
        </w:trPr>
        <w:tc>
          <w:tcPr>
            <w:tcW w:w="425" w:type="dxa"/>
            <w:shd w:val="clear" w:color="auto" w:fill="auto"/>
          </w:tcPr>
          <w:p w:rsidR="0055092F" w:rsidRDefault="0055092F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="Palatino Linotype" w:hAnsi="Palatino Linotype" w:cs="Palatino Linotype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55092F" w:rsidRDefault="0055092F">
            <w:pPr>
              <w:spacing w:before="40" w:after="40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sz w:val="22"/>
                <w:szCs w:val="22"/>
              </w:rPr>
              <w:t>kierownik komórki organizacyjnej</w:t>
            </w:r>
          </w:p>
        </w:tc>
        <w:tc>
          <w:tcPr>
            <w:tcW w:w="6683" w:type="dxa"/>
            <w:shd w:val="clear" w:color="auto" w:fill="auto"/>
          </w:tcPr>
          <w:p w:rsidR="0055092F" w:rsidRDefault="0055092F">
            <w:pPr>
              <w:numPr>
                <w:ilvl w:val="0"/>
                <w:numId w:val="18"/>
              </w:numPr>
              <w:spacing w:before="40" w:after="40"/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osobę kierującą komórką organizacyjną lub osobę upoważnioną do wykonywania jej zadań;</w:t>
            </w:r>
          </w:p>
        </w:tc>
      </w:tr>
      <w:tr w:rsidR="0055092F">
        <w:trPr>
          <w:trHeight w:val="561"/>
        </w:trPr>
        <w:tc>
          <w:tcPr>
            <w:tcW w:w="425" w:type="dxa"/>
            <w:shd w:val="clear" w:color="auto" w:fill="auto"/>
          </w:tcPr>
          <w:p w:rsidR="0055092F" w:rsidRDefault="0055092F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="Palatino Linotype" w:hAnsi="Palatino Linotype" w:cs="Palatino Linotype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55092F" w:rsidRDefault="0055092F">
            <w:pPr>
              <w:spacing w:before="40" w:after="40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sz w:val="22"/>
                <w:szCs w:val="22"/>
              </w:rPr>
              <w:t>komórka organizacyjna</w:t>
            </w:r>
          </w:p>
        </w:tc>
        <w:tc>
          <w:tcPr>
            <w:tcW w:w="6683" w:type="dxa"/>
            <w:shd w:val="clear" w:color="auto" w:fill="auto"/>
          </w:tcPr>
          <w:p w:rsidR="0055092F" w:rsidRDefault="0055092F">
            <w:pPr>
              <w:numPr>
                <w:ilvl w:val="0"/>
                <w:numId w:val="42"/>
              </w:numPr>
              <w:tabs>
                <w:tab w:val="left" w:pos="317"/>
              </w:tabs>
              <w:autoSpaceDE w:val="0"/>
              <w:ind w:left="317" w:hanging="317"/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wydzieloną organizacyjnie część</w:t>
            </w:r>
            <w:r w:rsidR="008122B1">
              <w:rPr>
                <w:rFonts w:ascii="Palatino Linotype" w:hAnsi="Palatino Linotype" w:cs="Palatino Linotype"/>
                <w:sz w:val="22"/>
                <w:szCs w:val="22"/>
              </w:rPr>
              <w:t xml:space="preserve"> MP37</w:t>
            </w:r>
            <w:r>
              <w:rPr>
                <w:rFonts w:ascii="Palatino Linotype" w:hAnsi="Palatino Linotype" w:cs="Palatino Linotype"/>
                <w:i/>
                <w:sz w:val="22"/>
                <w:szCs w:val="22"/>
              </w:rPr>
              <w:t xml:space="preserve"> </w:t>
            </w:r>
            <w:r>
              <w:rPr>
                <w:rFonts w:ascii="Palatino Linotype" w:hAnsi="Palatino Linotype" w:cs="Palatino Linotype"/>
                <w:sz w:val="22"/>
                <w:szCs w:val="22"/>
              </w:rPr>
              <w:t>np. zespół, , referat, samodzielne stanowisko pracy</w:t>
            </w:r>
            <w:r w:rsidR="008122B1">
              <w:rPr>
                <w:rFonts w:ascii="Palatino Linotype" w:hAnsi="Palatino Linotype" w:cs="Palatino Linotype"/>
                <w:sz w:val="22"/>
                <w:szCs w:val="22"/>
              </w:rPr>
              <w:t>;</w:t>
            </w:r>
          </w:p>
        </w:tc>
      </w:tr>
      <w:tr w:rsidR="0055092F">
        <w:trPr>
          <w:trHeight w:val="561"/>
        </w:trPr>
        <w:tc>
          <w:tcPr>
            <w:tcW w:w="425" w:type="dxa"/>
            <w:shd w:val="clear" w:color="auto" w:fill="auto"/>
          </w:tcPr>
          <w:p w:rsidR="0055092F" w:rsidRDefault="0055092F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="Palatino Linotype" w:hAnsi="Palatino Linotype" w:cs="Palatino Linotype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55092F" w:rsidRDefault="0055092F">
            <w:pPr>
              <w:spacing w:before="40" w:after="40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sz w:val="22"/>
                <w:szCs w:val="22"/>
              </w:rPr>
              <w:t>skład informatycznych nośników danych</w:t>
            </w:r>
          </w:p>
        </w:tc>
        <w:tc>
          <w:tcPr>
            <w:tcW w:w="6683" w:type="dxa"/>
            <w:shd w:val="clear" w:color="auto" w:fill="auto"/>
          </w:tcPr>
          <w:p w:rsidR="0055092F" w:rsidRDefault="0055092F">
            <w:pPr>
              <w:numPr>
                <w:ilvl w:val="0"/>
                <w:numId w:val="18"/>
              </w:numPr>
              <w:spacing w:before="40" w:after="40"/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uporządkowany zbiór informatycznych nośników danych zawierających dokumentację w postaci elektronicznej;</w:t>
            </w:r>
          </w:p>
        </w:tc>
      </w:tr>
      <w:tr w:rsidR="0055092F">
        <w:trPr>
          <w:trHeight w:val="561"/>
        </w:trPr>
        <w:tc>
          <w:tcPr>
            <w:tcW w:w="425" w:type="dxa"/>
            <w:shd w:val="clear" w:color="auto" w:fill="auto"/>
          </w:tcPr>
          <w:p w:rsidR="0055092F" w:rsidRDefault="0055092F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="Palatino Linotype" w:hAnsi="Palatino Linotype" w:cs="Palatino Linotype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55092F" w:rsidRDefault="0055092F">
            <w:pPr>
              <w:spacing w:before="40" w:after="40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sz w:val="22"/>
                <w:szCs w:val="22"/>
              </w:rPr>
              <w:t>składnica akt</w:t>
            </w:r>
          </w:p>
        </w:tc>
        <w:tc>
          <w:tcPr>
            <w:tcW w:w="6683" w:type="dxa"/>
            <w:shd w:val="clear" w:color="auto" w:fill="auto"/>
          </w:tcPr>
          <w:p w:rsidR="0055092F" w:rsidRDefault="0055092F">
            <w:pPr>
              <w:numPr>
                <w:ilvl w:val="0"/>
                <w:numId w:val="18"/>
              </w:numPr>
              <w:spacing w:before="40" w:after="40"/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składnica akt</w:t>
            </w:r>
            <w:r w:rsidR="008122B1">
              <w:rPr>
                <w:rFonts w:ascii="Palatino Linotype" w:hAnsi="Palatino Linotype" w:cs="Palatino Linotype"/>
                <w:sz w:val="22"/>
                <w:szCs w:val="22"/>
              </w:rPr>
              <w:t xml:space="preserve"> MP37;</w:t>
            </w:r>
          </w:p>
        </w:tc>
      </w:tr>
      <w:tr w:rsidR="0055092F">
        <w:trPr>
          <w:trHeight w:val="561"/>
        </w:trPr>
        <w:tc>
          <w:tcPr>
            <w:tcW w:w="425" w:type="dxa"/>
            <w:shd w:val="clear" w:color="auto" w:fill="auto"/>
          </w:tcPr>
          <w:p w:rsidR="0055092F" w:rsidRDefault="0055092F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="Palatino Linotype" w:hAnsi="Palatino Linotype" w:cs="Palatino Linotype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55092F" w:rsidRDefault="0055092F">
            <w:pPr>
              <w:spacing w:before="40" w:after="40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sz w:val="22"/>
                <w:szCs w:val="22"/>
              </w:rPr>
              <w:t>teczka aktowa</w:t>
            </w:r>
          </w:p>
        </w:tc>
        <w:tc>
          <w:tcPr>
            <w:tcW w:w="6683" w:type="dxa"/>
            <w:shd w:val="clear" w:color="auto" w:fill="auto"/>
          </w:tcPr>
          <w:p w:rsidR="0055092F" w:rsidRDefault="0055092F">
            <w:pPr>
              <w:numPr>
                <w:ilvl w:val="0"/>
                <w:numId w:val="18"/>
              </w:numPr>
              <w:spacing w:before="40" w:after="40"/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materiał biurowy używany do przechowywania dokumentacji w postaci nieelektronicznej;</w:t>
            </w:r>
          </w:p>
        </w:tc>
      </w:tr>
      <w:tr w:rsidR="0055092F">
        <w:trPr>
          <w:trHeight w:val="561"/>
        </w:trPr>
        <w:tc>
          <w:tcPr>
            <w:tcW w:w="425" w:type="dxa"/>
            <w:shd w:val="clear" w:color="auto" w:fill="auto"/>
          </w:tcPr>
          <w:p w:rsidR="0055092F" w:rsidRDefault="0055092F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="Palatino Linotype" w:hAnsi="Palatino Linotype" w:cs="Palatino Linotype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55092F" w:rsidRDefault="0055092F">
            <w:pPr>
              <w:spacing w:before="40" w:after="40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sz w:val="22"/>
                <w:szCs w:val="22"/>
              </w:rPr>
              <w:t>wykaz akt</w:t>
            </w:r>
          </w:p>
        </w:tc>
        <w:tc>
          <w:tcPr>
            <w:tcW w:w="6683" w:type="dxa"/>
            <w:shd w:val="clear" w:color="auto" w:fill="auto"/>
          </w:tcPr>
          <w:p w:rsidR="0055092F" w:rsidRDefault="0055092F">
            <w:pPr>
              <w:numPr>
                <w:ilvl w:val="0"/>
                <w:numId w:val="18"/>
              </w:numPr>
              <w:spacing w:before="40" w:after="40"/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jednolity rzeczowy wykaz akt.</w:t>
            </w:r>
          </w:p>
        </w:tc>
      </w:tr>
    </w:tbl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:rsidR="0055092F" w:rsidRDefault="0055092F">
      <w:pPr>
        <w:pStyle w:val="NormalnyWeb"/>
        <w:spacing w:before="0" w:after="12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Arial"/>
          <w:b/>
          <w:bCs/>
          <w:sz w:val="22"/>
          <w:szCs w:val="22"/>
        </w:rPr>
        <w:t>§</w:t>
      </w:r>
      <w:r>
        <w:rPr>
          <w:rFonts w:ascii="Palatino Linotype" w:hAnsi="Palatino Linotype" w:cs="Palatino Linotype"/>
          <w:b/>
          <w:bCs/>
          <w:sz w:val="22"/>
          <w:szCs w:val="22"/>
        </w:rPr>
        <w:t xml:space="preserve"> 3.</w:t>
      </w:r>
    </w:p>
    <w:p w:rsidR="0055092F" w:rsidRDefault="0055092F">
      <w:pPr>
        <w:pStyle w:val="NormalnyWeb"/>
        <w:numPr>
          <w:ilvl w:val="0"/>
          <w:numId w:val="13"/>
        </w:numPr>
        <w:spacing w:before="0" w:after="12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Dokumentacja przekazywana i przechowywana w składnicy akt musi być uporządkowana i zakwalifikowana do właściwych kategorii archiwalnych.</w:t>
      </w:r>
    </w:p>
    <w:p w:rsidR="0055092F" w:rsidRDefault="0055092F">
      <w:pPr>
        <w:pStyle w:val="NormalnyWeb"/>
        <w:numPr>
          <w:ilvl w:val="0"/>
          <w:numId w:val="13"/>
        </w:numPr>
        <w:spacing w:before="0" w:after="12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Podstawą kwalifikacji archiwalnej są wykazy akt, obowiązujące w czasie, gdy dokumentacja powstawała i była gromadzona, chyba że przepis szczególny stanowi inaczej.</w:t>
      </w:r>
    </w:p>
    <w:p w:rsidR="0055092F" w:rsidRDefault="0055092F">
      <w:pPr>
        <w:pStyle w:val="NormalnyWeb"/>
        <w:numPr>
          <w:ilvl w:val="0"/>
          <w:numId w:val="13"/>
        </w:numPr>
        <w:spacing w:before="0" w:after="0"/>
        <w:jc w:val="both"/>
        <w:rPr>
          <w:rFonts w:ascii="Palatino Linotype" w:hAnsi="Palatino Linotype" w:cs="Arial"/>
          <w:b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Dyrektor </w:t>
      </w:r>
      <w:r>
        <w:rPr>
          <w:rFonts w:ascii="Palatino Linotype" w:hAnsi="Palatino Linotype" w:cs="Palatino Linotype"/>
          <w:color w:val="000000"/>
          <w:sz w:val="22"/>
          <w:szCs w:val="22"/>
        </w:rPr>
        <w:t xml:space="preserve">właściwego </w:t>
      </w:r>
      <w:r>
        <w:rPr>
          <w:rFonts w:ascii="Palatino Linotype" w:hAnsi="Palatino Linotype" w:cs="Palatino Linotype"/>
          <w:sz w:val="22"/>
          <w:szCs w:val="22"/>
        </w:rPr>
        <w:t>archiwum państwowego może dokonać zmiany kategorii archiwalnej dokumentacji.</w:t>
      </w: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Arial"/>
          <w:b/>
          <w:sz w:val="22"/>
          <w:szCs w:val="22"/>
        </w:rPr>
      </w:pPr>
    </w:p>
    <w:p w:rsidR="0055092F" w:rsidRDefault="0055092F">
      <w:pPr>
        <w:pStyle w:val="NormalnyWeb"/>
        <w:spacing w:before="0" w:after="120"/>
        <w:jc w:val="center"/>
        <w:rPr>
          <w:rFonts w:ascii="Palatino Linotype" w:hAnsi="Palatino Linotype" w:cs="Arial"/>
          <w:b/>
          <w:sz w:val="22"/>
          <w:szCs w:val="22"/>
        </w:rPr>
      </w:pPr>
    </w:p>
    <w:p w:rsidR="0055092F" w:rsidRDefault="0055092F">
      <w:pPr>
        <w:pStyle w:val="NormalnyWeb"/>
        <w:spacing w:before="0" w:after="12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Arial"/>
          <w:b/>
          <w:sz w:val="22"/>
          <w:szCs w:val="22"/>
        </w:rPr>
        <w:t>§ 4.</w:t>
      </w:r>
    </w:p>
    <w:p w:rsidR="0055092F" w:rsidRDefault="0055092F">
      <w:pPr>
        <w:pStyle w:val="NormalnyWeb"/>
        <w:numPr>
          <w:ilvl w:val="0"/>
          <w:numId w:val="25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lastRenderedPageBreak/>
        <w:t>Dopuszcza się wykorzystanie narzędzi informatycznych, w szczególności w celu:</w:t>
      </w:r>
    </w:p>
    <w:p w:rsidR="0055092F" w:rsidRDefault="0055092F">
      <w:pPr>
        <w:numPr>
          <w:ilvl w:val="3"/>
          <w:numId w:val="15"/>
        </w:numPr>
        <w:tabs>
          <w:tab w:val="left" w:pos="851"/>
        </w:tabs>
        <w:ind w:left="851" w:hanging="425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sporządzania środków ewidencyjnych dokumentacji do przekazania do składnicy akt, ich przesyłania, jak i w celu sporządzania środków ewidencyjnych dokumentacji przechowywanej w składnicy akt;</w:t>
      </w:r>
    </w:p>
    <w:p w:rsidR="0055092F" w:rsidRDefault="0055092F">
      <w:pPr>
        <w:numPr>
          <w:ilvl w:val="3"/>
          <w:numId w:val="15"/>
        </w:numPr>
        <w:tabs>
          <w:tab w:val="left" w:pos="851"/>
        </w:tabs>
        <w:ind w:left="851" w:hanging="425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prowadzenia ewidencji dokumentacji w składnicy akt;</w:t>
      </w:r>
    </w:p>
    <w:p w:rsidR="0055092F" w:rsidRDefault="0055092F">
      <w:pPr>
        <w:numPr>
          <w:ilvl w:val="3"/>
          <w:numId w:val="15"/>
        </w:numPr>
        <w:tabs>
          <w:tab w:val="left" w:pos="851"/>
        </w:tabs>
        <w:ind w:left="851" w:hanging="425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prowadzenia ewidencji udostępniania dokumentacji;</w:t>
      </w:r>
    </w:p>
    <w:p w:rsidR="0055092F" w:rsidRDefault="0055092F">
      <w:pPr>
        <w:numPr>
          <w:ilvl w:val="3"/>
          <w:numId w:val="15"/>
        </w:numPr>
        <w:tabs>
          <w:tab w:val="left" w:pos="851"/>
        </w:tabs>
        <w:ind w:left="851" w:hanging="425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sporządzania środków ewidencyjnych dokumentacji w związku z procedurą brakowania dokumentacji niearchiwalnej lub przekazywania materiałów archiwalnych do właściwego archiwum państwowego;</w:t>
      </w:r>
    </w:p>
    <w:p w:rsidR="0055092F" w:rsidRDefault="0055092F">
      <w:pPr>
        <w:numPr>
          <w:ilvl w:val="3"/>
          <w:numId w:val="15"/>
        </w:numPr>
        <w:tabs>
          <w:tab w:val="left" w:pos="851"/>
        </w:tabs>
        <w:ind w:left="851" w:hanging="425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prowadzenia ewidencji wyników pomiaru temperatury i wilgotności powietrza w magazynach składnicy;</w:t>
      </w:r>
    </w:p>
    <w:p w:rsidR="0055092F" w:rsidRDefault="0055092F">
      <w:pPr>
        <w:numPr>
          <w:ilvl w:val="3"/>
          <w:numId w:val="15"/>
        </w:numPr>
        <w:tabs>
          <w:tab w:val="left" w:pos="851"/>
        </w:tabs>
        <w:spacing w:after="120"/>
        <w:ind w:left="851" w:hanging="425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informowania o dokumentacji przechowywanej w składnicy akt.</w:t>
      </w:r>
    </w:p>
    <w:p w:rsidR="0055092F" w:rsidRDefault="0055092F">
      <w:pPr>
        <w:numPr>
          <w:ilvl w:val="0"/>
          <w:numId w:val="25"/>
        </w:numPr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Narzędzia informatyczne, o których mowa w ust. 1, mogą być stosowane zamiast dokumentacji w  postaci papierowej, jeżeli dane w postaci elektronicznej:</w:t>
      </w:r>
    </w:p>
    <w:p w:rsidR="0055092F" w:rsidRDefault="0055092F">
      <w:pPr>
        <w:numPr>
          <w:ilvl w:val="3"/>
          <w:numId w:val="37"/>
        </w:numPr>
        <w:tabs>
          <w:tab w:val="left" w:pos="851"/>
        </w:tabs>
        <w:ind w:left="851" w:hanging="425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są zabezpieczone przed wprowadzeniem zmian przez osoby nieupoważnione, </w:t>
      </w:r>
    </w:p>
    <w:p w:rsidR="0055092F" w:rsidRDefault="0055092F">
      <w:pPr>
        <w:numPr>
          <w:ilvl w:val="3"/>
          <w:numId w:val="37"/>
        </w:numPr>
        <w:tabs>
          <w:tab w:val="left" w:pos="851"/>
        </w:tabs>
        <w:spacing w:after="120"/>
        <w:ind w:left="851" w:hanging="425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są zabezpieczone przed utratą przez co najmniej sporządzanie kopii zabezpieczającej na odrębnym informatycznym nośniku danych, nie później niż dobę  po zmianie treści tych danych, ale nie rzadziej niż raz na 6 miesięcy.</w:t>
      </w:r>
    </w:p>
    <w:p w:rsidR="0055092F" w:rsidRDefault="0055092F">
      <w:pPr>
        <w:numPr>
          <w:ilvl w:val="0"/>
          <w:numId w:val="46"/>
        </w:numPr>
        <w:spacing w:after="12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Kopie zabezpieczające wykonuje się kolejno na co najmniej dwóch różnych informatycznych nośnikach danych, tak aby stale dysponować co najmniej dwoma nośnikami umożliwiającymi odzyskanie danych.</w:t>
      </w:r>
    </w:p>
    <w:p w:rsidR="0055092F" w:rsidRDefault="0055092F">
      <w:pPr>
        <w:numPr>
          <w:ilvl w:val="0"/>
          <w:numId w:val="46"/>
        </w:numPr>
        <w:jc w:val="both"/>
        <w:rPr>
          <w:rFonts w:ascii="Palatino Linotype" w:hAnsi="Palatino Linotype" w:cs="Palatino Linotype"/>
          <w:b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Wymagania, określone w ust. 2, uważa się za spełnione, jeśli dla</w:t>
      </w:r>
      <w:r w:rsidR="008122B1">
        <w:rPr>
          <w:rFonts w:ascii="Palatino Linotype" w:hAnsi="Palatino Linotype" w:cs="Palatino Linotype"/>
          <w:sz w:val="22"/>
          <w:szCs w:val="22"/>
        </w:rPr>
        <w:t xml:space="preserve"> MP37</w:t>
      </w:r>
      <w:r>
        <w:rPr>
          <w:rFonts w:ascii="Palatino Linotype" w:hAnsi="Palatino Linotype" w:cs="Palatino Linotype"/>
          <w:b/>
          <w:bCs/>
          <w:color w:val="FF0000"/>
          <w:sz w:val="22"/>
          <w:szCs w:val="22"/>
        </w:rPr>
        <w:t xml:space="preserve"> </w:t>
      </w:r>
      <w:r>
        <w:rPr>
          <w:rFonts w:ascii="Palatino Linotype" w:hAnsi="Palatino Linotype" w:cs="Palatino Linotype"/>
          <w:sz w:val="22"/>
          <w:szCs w:val="22"/>
        </w:rPr>
        <w:t>został opracowany i wdrożony system zarządzania bezpieczeństwem informacji, w którym określono wymagania bezpieczeństwa zgodnie z Polskimi Normami PN-ISO/IEC 27001 oraz PN-ISO/IEC 17799.</w:t>
      </w: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b/>
          <w:sz w:val="22"/>
          <w:szCs w:val="22"/>
        </w:rPr>
      </w:pPr>
    </w:p>
    <w:p w:rsidR="0055092F" w:rsidRDefault="0055092F">
      <w:pPr>
        <w:pStyle w:val="Nagwek1"/>
        <w:rPr>
          <w:rFonts w:ascii="Palatino Linotype" w:hAnsi="Palatino Linotype" w:cs="Palatino Linotype"/>
          <w:sz w:val="22"/>
          <w:szCs w:val="24"/>
        </w:rPr>
      </w:pPr>
      <w:r>
        <w:rPr>
          <w:rFonts w:ascii="Palatino Linotype" w:hAnsi="Palatino Linotype" w:cs="Arial"/>
          <w:bCs/>
          <w:sz w:val="22"/>
          <w:szCs w:val="24"/>
        </w:rPr>
        <w:t>ROZDZIAŁ 2</w:t>
      </w:r>
    </w:p>
    <w:p w:rsidR="0055092F" w:rsidRDefault="0055092F">
      <w:pPr>
        <w:pStyle w:val="Nagwek2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i w:val="0"/>
          <w:sz w:val="22"/>
          <w:szCs w:val="24"/>
        </w:rPr>
        <w:t xml:space="preserve">Organizacja i zadania </w:t>
      </w:r>
      <w:r>
        <w:rPr>
          <w:rFonts w:ascii="Palatino Linotype" w:hAnsi="Palatino Linotype" w:cs="Palatino Linotype"/>
          <w:i w:val="0"/>
          <w:iCs w:val="0"/>
          <w:sz w:val="22"/>
          <w:szCs w:val="22"/>
        </w:rPr>
        <w:t>składnicy akt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bCs/>
          <w:sz w:val="22"/>
          <w:szCs w:val="22"/>
        </w:rPr>
      </w:pPr>
    </w:p>
    <w:p w:rsidR="0055092F" w:rsidRDefault="0055092F">
      <w:pPr>
        <w:pStyle w:val="NormalnyWeb"/>
        <w:spacing w:before="0" w:after="120"/>
        <w:jc w:val="center"/>
        <w:rPr>
          <w:rFonts w:ascii="Palatino Linotype" w:hAnsi="Palatino Linotype" w:cs="Palatino Linotype"/>
          <w:bCs/>
          <w:sz w:val="22"/>
          <w:szCs w:val="22"/>
        </w:rPr>
      </w:pPr>
      <w:r>
        <w:rPr>
          <w:rFonts w:ascii="Palatino Linotype" w:hAnsi="Palatino Linotype" w:cs="Palatino Linotype"/>
          <w:b/>
          <w:bCs/>
          <w:sz w:val="22"/>
          <w:szCs w:val="22"/>
        </w:rPr>
        <w:t>§ 5.</w:t>
      </w:r>
    </w:p>
    <w:p w:rsidR="0055092F" w:rsidRDefault="0055092F">
      <w:pPr>
        <w:pStyle w:val="NormalnyWeb"/>
        <w:numPr>
          <w:ilvl w:val="0"/>
          <w:numId w:val="12"/>
        </w:numPr>
        <w:spacing w:before="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Cs/>
          <w:sz w:val="22"/>
          <w:szCs w:val="22"/>
        </w:rPr>
        <w:t>W</w:t>
      </w:r>
      <w:r w:rsidR="008122B1">
        <w:rPr>
          <w:rFonts w:ascii="Palatino Linotype" w:hAnsi="Palatino Linotype" w:cs="Palatino Linotype"/>
          <w:bCs/>
          <w:sz w:val="22"/>
          <w:szCs w:val="22"/>
        </w:rPr>
        <w:t xml:space="preserve"> MP37</w:t>
      </w:r>
      <w:r>
        <w:rPr>
          <w:rFonts w:ascii="Palatino Linotype" w:hAnsi="Palatino Linotype" w:cs="Palatino Linotype"/>
          <w:i/>
          <w:sz w:val="22"/>
          <w:szCs w:val="22"/>
        </w:rPr>
        <w:t xml:space="preserve"> </w:t>
      </w:r>
      <w:r>
        <w:rPr>
          <w:rFonts w:ascii="Palatino Linotype" w:hAnsi="Palatino Linotype" w:cs="Palatino Linotype"/>
          <w:bCs/>
          <w:sz w:val="22"/>
          <w:szCs w:val="22"/>
        </w:rPr>
        <w:t xml:space="preserve">działa jedna </w:t>
      </w:r>
      <w:r>
        <w:rPr>
          <w:rFonts w:ascii="Palatino Linotype" w:hAnsi="Palatino Linotype" w:cs="Palatino Linotype"/>
          <w:sz w:val="22"/>
          <w:szCs w:val="22"/>
        </w:rPr>
        <w:t>składnica akt</w:t>
      </w:r>
      <w:r>
        <w:rPr>
          <w:rFonts w:ascii="Palatino Linotype" w:hAnsi="Palatino Linotype" w:cs="Palatino Linotype"/>
          <w:bCs/>
          <w:sz w:val="22"/>
          <w:szCs w:val="22"/>
        </w:rPr>
        <w:t>.</w:t>
      </w:r>
    </w:p>
    <w:p w:rsidR="0055092F" w:rsidRDefault="0055092F">
      <w:pPr>
        <w:pStyle w:val="NormalnyWeb"/>
        <w:numPr>
          <w:ilvl w:val="0"/>
          <w:numId w:val="12"/>
        </w:numPr>
        <w:spacing w:before="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Składnica akt gromadzi i przechowuje dokumentację niearchiwalną (akta kategorii B) ze wszystkich komórek organizacyjnych</w:t>
      </w:r>
      <w:r w:rsidR="008122B1">
        <w:rPr>
          <w:rFonts w:ascii="Palatino Linotype" w:hAnsi="Palatino Linotype" w:cs="Palatino Linotype"/>
          <w:sz w:val="22"/>
          <w:szCs w:val="22"/>
        </w:rPr>
        <w:t xml:space="preserve"> MP37</w:t>
      </w:r>
      <w:r>
        <w:rPr>
          <w:rFonts w:ascii="Palatino Linotype" w:hAnsi="Palatino Linotype" w:cs="Palatino Linotype"/>
          <w:sz w:val="22"/>
          <w:szCs w:val="22"/>
        </w:rPr>
        <w:t xml:space="preserve"> oraz dokumentację odziedziczoną.</w:t>
      </w:r>
    </w:p>
    <w:p w:rsidR="0055092F" w:rsidRDefault="0055092F">
      <w:pPr>
        <w:pStyle w:val="NormalnyWeb"/>
        <w:spacing w:before="0" w:after="0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12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6.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Do zadań składnicy akt należy: </w:t>
      </w:r>
      <w:r>
        <w:rPr>
          <w:rFonts w:ascii="Palatino Linotype" w:hAnsi="Palatino Linotype" w:cs="Palatino Linotype"/>
          <w:sz w:val="22"/>
          <w:szCs w:val="22"/>
        </w:rPr>
        <w:tab/>
      </w:r>
    </w:p>
    <w:p w:rsidR="0055092F" w:rsidRDefault="0055092F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przejmowanie dokumentacji;</w:t>
      </w:r>
    </w:p>
    <w:p w:rsidR="0055092F" w:rsidRDefault="0055092F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przechowywanie i zabezpieczanie zgromadzonej dokumentacji oraz prowadzenie jej ewidencji; </w:t>
      </w:r>
    </w:p>
    <w:p w:rsidR="0055092F" w:rsidRDefault="0055092F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przeprowadzanie skontrum dokumentacji;</w:t>
      </w:r>
    </w:p>
    <w:p w:rsidR="0055092F" w:rsidRDefault="0055092F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porządkowanie przechowywanej dokumentacji, przejętej w latach wcześniejszych w stanie nieuporządkowanym;</w:t>
      </w:r>
    </w:p>
    <w:p w:rsidR="0055092F" w:rsidRDefault="0055092F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udostępnianie przechowywanej dokumentacji;</w:t>
      </w:r>
    </w:p>
    <w:p w:rsidR="0055092F" w:rsidRDefault="0055092F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lastRenderedPageBreak/>
        <w:t>wycofywanie dokumentacji ze stanu składnicy akt w przypadku wznowienia sprawy w komórce organizacyjnej;</w:t>
      </w:r>
    </w:p>
    <w:p w:rsidR="0055092F" w:rsidRDefault="0055092F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przeprowadzanie kwerend archiwalnych, czyli poszukiwanie w dokumentacji informacji na temat osób, zdarzeń, czy problemów;</w:t>
      </w:r>
    </w:p>
    <w:p w:rsidR="0055092F" w:rsidRDefault="0055092F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inicjowanie brakowania dokumentacji niearchiwalnej oraz udział w jej komisyjnym brakowaniu; </w:t>
      </w:r>
    </w:p>
    <w:p w:rsidR="0055092F" w:rsidRDefault="0055092F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doradzanie komórkom organizacyjnym w zakresie właściwego postępowania z dokumentacją.</w:t>
      </w:r>
    </w:p>
    <w:p w:rsidR="0055092F" w:rsidRDefault="0055092F">
      <w:pPr>
        <w:pStyle w:val="NormalnyWeb"/>
        <w:spacing w:before="0" w:after="0"/>
        <w:ind w:left="360"/>
        <w:jc w:val="center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agwek1"/>
        <w:rPr>
          <w:rFonts w:ascii="Palatino Linotype" w:hAnsi="Palatino Linotype" w:cs="Palatino Linotype"/>
          <w:sz w:val="22"/>
          <w:szCs w:val="24"/>
        </w:rPr>
      </w:pPr>
      <w:r>
        <w:rPr>
          <w:rFonts w:ascii="Palatino Linotype" w:hAnsi="Palatino Linotype" w:cs="Arial"/>
          <w:bCs/>
          <w:sz w:val="22"/>
          <w:szCs w:val="24"/>
        </w:rPr>
        <w:t>ROZDZIAŁ 3</w:t>
      </w:r>
    </w:p>
    <w:p w:rsidR="0055092F" w:rsidRDefault="0055092F">
      <w:pPr>
        <w:pStyle w:val="Nagwek2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i w:val="0"/>
          <w:sz w:val="22"/>
          <w:szCs w:val="24"/>
        </w:rPr>
        <w:t xml:space="preserve">Obsada </w:t>
      </w:r>
      <w:r>
        <w:rPr>
          <w:rFonts w:ascii="Palatino Linotype" w:hAnsi="Palatino Linotype" w:cs="Palatino Linotype"/>
          <w:i w:val="0"/>
          <w:sz w:val="22"/>
          <w:szCs w:val="22"/>
        </w:rPr>
        <w:t>składnicy akt</w:t>
      </w:r>
    </w:p>
    <w:p w:rsidR="0055092F" w:rsidRDefault="0055092F">
      <w:pPr>
        <w:pStyle w:val="NormalnyWeb"/>
        <w:spacing w:before="0" w:after="0"/>
        <w:ind w:left="360"/>
        <w:jc w:val="center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7.</w:t>
      </w:r>
    </w:p>
    <w:p w:rsidR="0055092F" w:rsidRDefault="0055092F">
      <w:pPr>
        <w:pStyle w:val="NormalnyWeb"/>
        <w:numPr>
          <w:ilvl w:val="0"/>
          <w:numId w:val="49"/>
        </w:numPr>
        <w:spacing w:before="0" w:after="12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Archiwista odpowiedzialny jest za realizację zadań składnicy akt, o których mowa w § 6.</w:t>
      </w:r>
    </w:p>
    <w:p w:rsidR="0055092F" w:rsidRDefault="0055092F">
      <w:pPr>
        <w:pStyle w:val="NormalnyWeb"/>
        <w:numPr>
          <w:ilvl w:val="0"/>
          <w:numId w:val="49"/>
        </w:numPr>
        <w:spacing w:before="0" w:after="12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 Liczba pracowników składnicy akt musi umożliwiać sprawną realizację zadań składnicy akt.</w:t>
      </w:r>
    </w:p>
    <w:p w:rsidR="0055092F" w:rsidRDefault="0055092F">
      <w:pPr>
        <w:pStyle w:val="NormalnyWeb"/>
        <w:numPr>
          <w:ilvl w:val="0"/>
          <w:numId w:val="49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 przypadku wyznaczenia do pracy zatrudnienia w składnicy akt co najmniej dwóch archiwistów, wyznacza się spośród nich osobę koordynującą prace składnicy akt.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 8.</w:t>
      </w:r>
    </w:p>
    <w:p w:rsidR="0055092F" w:rsidRDefault="0055092F">
      <w:pPr>
        <w:pStyle w:val="NormalnyWeb"/>
        <w:numPr>
          <w:ilvl w:val="0"/>
          <w:numId w:val="32"/>
        </w:numPr>
        <w:spacing w:before="0" w:after="12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Archiwista powinien posiadać co najmniej wykształcenie średnie i przeszkolenie archiwalne.</w:t>
      </w:r>
    </w:p>
    <w:p w:rsidR="0055092F" w:rsidRDefault="0055092F">
      <w:pPr>
        <w:pStyle w:val="NormalnyWeb"/>
        <w:numPr>
          <w:ilvl w:val="0"/>
          <w:numId w:val="32"/>
        </w:numPr>
        <w:spacing w:before="0" w:after="12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Archiwista powinien wykazać się znajomością systemów kancelaryjnych, według których była i jest prowadzona dokumentacja we własnej jednostce.</w:t>
      </w:r>
    </w:p>
    <w:p w:rsidR="0055092F" w:rsidRDefault="0055092F">
      <w:pPr>
        <w:pStyle w:val="NormalnyWeb"/>
        <w:numPr>
          <w:ilvl w:val="0"/>
          <w:numId w:val="32"/>
        </w:numPr>
        <w:spacing w:before="0" w:after="12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Archiwista ma prawo do ubrania ochronnego (w szczególności fartuchy, rękawiczki lateksowe, maseczki z filtrem, itp.).</w:t>
      </w:r>
    </w:p>
    <w:p w:rsidR="0055092F" w:rsidRDefault="0055092F">
      <w:pPr>
        <w:pStyle w:val="NormalnyWeb"/>
        <w:numPr>
          <w:ilvl w:val="0"/>
          <w:numId w:val="32"/>
        </w:numPr>
        <w:spacing w:before="0" w:after="0"/>
        <w:jc w:val="both"/>
        <w:rPr>
          <w:rFonts w:ascii="Palatino Linotype" w:hAnsi="Palatino Linotype" w:cs="Palatino Linotype"/>
          <w:b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Archiwista powinien stale pogłębiać swoje kwalifikacje zawodowe. </w:t>
      </w: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b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 9.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Arial"/>
          <w:bCs/>
          <w:sz w:val="22"/>
        </w:rPr>
      </w:pPr>
      <w:r>
        <w:rPr>
          <w:rFonts w:ascii="Palatino Linotype" w:hAnsi="Palatino Linotype" w:cs="Palatino Linotype"/>
          <w:sz w:val="22"/>
          <w:szCs w:val="22"/>
        </w:rPr>
        <w:t>W razie zmiany na stanowisku archiwisty, w przypadku gdy był on tylko jeden lub osoby koordynującej pracę składnicy akt, gdy było co najmniej dwóch archiwistów, przekazanie składnicy akt odpowiednio nowemu archiwiście lub osobie koordynującej, odbywa się protokolarnie</w:t>
      </w:r>
    </w:p>
    <w:p w:rsidR="0055092F" w:rsidRDefault="0055092F">
      <w:pPr>
        <w:pStyle w:val="Nagwek1"/>
        <w:rPr>
          <w:rFonts w:ascii="Palatino Linotype" w:hAnsi="Palatino Linotype" w:cs="Palatino Linotype"/>
          <w:sz w:val="22"/>
          <w:szCs w:val="24"/>
        </w:rPr>
      </w:pPr>
      <w:r>
        <w:rPr>
          <w:rFonts w:ascii="Palatino Linotype" w:hAnsi="Palatino Linotype" w:cs="Arial"/>
          <w:bCs/>
          <w:sz w:val="22"/>
          <w:szCs w:val="24"/>
        </w:rPr>
        <w:t>ROZDZIAŁ 4</w:t>
      </w:r>
    </w:p>
    <w:p w:rsidR="0055092F" w:rsidRDefault="0055092F">
      <w:pPr>
        <w:pStyle w:val="Nagwek2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i w:val="0"/>
          <w:iCs w:val="0"/>
          <w:sz w:val="22"/>
          <w:szCs w:val="24"/>
        </w:rPr>
        <w:t xml:space="preserve">Lokal </w:t>
      </w:r>
      <w:r>
        <w:rPr>
          <w:rFonts w:ascii="Palatino Linotype" w:hAnsi="Palatino Linotype" w:cs="Palatino Linotype"/>
          <w:i w:val="0"/>
          <w:iCs w:val="0"/>
          <w:sz w:val="22"/>
          <w:szCs w:val="22"/>
        </w:rPr>
        <w:t>składnicy akt</w:t>
      </w:r>
    </w:p>
    <w:p w:rsidR="0055092F" w:rsidRDefault="0055092F">
      <w:pPr>
        <w:pStyle w:val="NormalnyWeb"/>
        <w:spacing w:before="0" w:after="0"/>
        <w:ind w:left="360"/>
        <w:jc w:val="center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10.</w:t>
      </w:r>
    </w:p>
    <w:p w:rsidR="0055092F" w:rsidRDefault="0055092F">
      <w:pPr>
        <w:pStyle w:val="NormalnyWeb"/>
        <w:numPr>
          <w:ilvl w:val="0"/>
          <w:numId w:val="10"/>
        </w:numPr>
        <w:spacing w:before="0" w:after="0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Na lokal składnicy akt składają się pomieszczenia</w:t>
      </w:r>
      <w:r w:rsidR="008122B1">
        <w:rPr>
          <w:rFonts w:ascii="Palatino Linotype" w:hAnsi="Palatino Linotype" w:cs="Palatino Linotype"/>
          <w:sz w:val="22"/>
          <w:szCs w:val="22"/>
        </w:rPr>
        <w:t xml:space="preserve"> MP37</w:t>
      </w:r>
      <w:r>
        <w:rPr>
          <w:rFonts w:ascii="Palatino Linotype" w:hAnsi="Palatino Linotype" w:cs="Palatino Linotype"/>
          <w:sz w:val="22"/>
          <w:szCs w:val="22"/>
        </w:rPr>
        <w:t>, pełniące funkcję magazynów, w których przechowuje się dokumentację oraz pomieszczenia biurowe umożliwiające prace archiwiście i osobom korzystającym z dokumentacji na miejscu.</w:t>
      </w:r>
    </w:p>
    <w:p w:rsidR="0055092F" w:rsidRDefault="0055092F">
      <w:pPr>
        <w:pStyle w:val="NormalnyWeb"/>
        <w:numPr>
          <w:ilvl w:val="0"/>
          <w:numId w:val="10"/>
        </w:numPr>
        <w:spacing w:before="0" w:after="0"/>
        <w:ind w:left="284" w:hanging="284"/>
        <w:jc w:val="both"/>
        <w:rPr>
          <w:rFonts w:ascii="Palatino Linotype" w:hAnsi="Palatino Linotype" w:cs="Palatino Linotype"/>
          <w:b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 szczególnie uzasadnionych przypadkach, po uzyskaniu akceptacji</w:t>
      </w:r>
      <w:r w:rsidR="008122B1">
        <w:rPr>
          <w:rFonts w:ascii="Palatino Linotype" w:hAnsi="Palatino Linotype" w:cs="Palatino Linotype"/>
          <w:sz w:val="22"/>
          <w:szCs w:val="22"/>
        </w:rPr>
        <w:t xml:space="preserve"> Dyrektora MP 37</w:t>
      </w:r>
      <w:r>
        <w:rPr>
          <w:rFonts w:ascii="Palatino Linotype" w:hAnsi="Palatino Linotype" w:cs="Palatino Linotype"/>
          <w:i/>
          <w:sz w:val="22"/>
          <w:szCs w:val="22"/>
        </w:rPr>
        <w:t xml:space="preserve"> </w:t>
      </w:r>
      <w:r>
        <w:rPr>
          <w:rFonts w:ascii="Palatino Linotype" w:hAnsi="Palatino Linotype" w:cs="Palatino Linotype"/>
          <w:sz w:val="22"/>
          <w:szCs w:val="22"/>
        </w:rPr>
        <w:t xml:space="preserve">dopuszcza się zorganizowanie pomieszczenia biurowego oraz pomieszczenia </w:t>
      </w:r>
      <w:r>
        <w:rPr>
          <w:rFonts w:ascii="Palatino Linotype" w:hAnsi="Palatino Linotype" w:cs="Palatino Linotype"/>
          <w:sz w:val="22"/>
          <w:szCs w:val="22"/>
        </w:rPr>
        <w:lastRenderedPageBreak/>
        <w:t>umożliwiającego korzystanie z dokumentacji na miejscu w pomieszczeniach pełniących funkcję magazynów, jeżeli posiadają one okna.</w:t>
      </w:r>
    </w:p>
    <w:p w:rsidR="0055092F" w:rsidRDefault="0055092F">
      <w:pPr>
        <w:pStyle w:val="NormalnyWeb"/>
        <w:spacing w:before="0" w:after="0"/>
        <w:ind w:left="360"/>
        <w:jc w:val="center"/>
        <w:rPr>
          <w:rFonts w:ascii="Palatino Linotype" w:hAnsi="Palatino Linotype" w:cs="Palatino Linotype"/>
          <w:b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11.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Magazyny składnicy akt powinny zabezpieczać przechowywaną w nich dokumentację przed uszkodzeniem, zniszczeniem lub utratą, w szczególności magazyny te powinny: </w:t>
      </w:r>
    </w:p>
    <w:p w:rsidR="0055092F" w:rsidRDefault="0055092F">
      <w:pPr>
        <w:pStyle w:val="NormalnyWeb"/>
        <w:numPr>
          <w:ilvl w:val="0"/>
          <w:numId w:val="44"/>
        </w:numPr>
        <w:spacing w:before="0" w:after="0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być usytuowane pomieszczeniu składającym się z elementów konstrukcyjnych o odpowiedniej nośności;</w:t>
      </w:r>
    </w:p>
    <w:p w:rsidR="0055092F" w:rsidRDefault="0055092F">
      <w:pPr>
        <w:pStyle w:val="NormalnyWeb"/>
        <w:numPr>
          <w:ilvl w:val="0"/>
          <w:numId w:val="44"/>
        </w:numPr>
        <w:spacing w:before="0" w:after="0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być suche, zapewniać właściwą temperaturę w ciągu roku;</w:t>
      </w:r>
    </w:p>
    <w:p w:rsidR="0055092F" w:rsidRDefault="0055092F">
      <w:pPr>
        <w:pStyle w:val="NormalnyWeb"/>
        <w:numPr>
          <w:ilvl w:val="0"/>
          <w:numId w:val="44"/>
        </w:numPr>
        <w:spacing w:before="0" w:after="0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posiadać skuteczną wentylację i sprawną instalację elektryczną;</w:t>
      </w:r>
    </w:p>
    <w:p w:rsidR="0055092F" w:rsidRDefault="0055092F">
      <w:pPr>
        <w:pStyle w:val="NormalnyWeb"/>
        <w:numPr>
          <w:ilvl w:val="0"/>
          <w:numId w:val="44"/>
        </w:numPr>
        <w:spacing w:before="0" w:after="0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być zabezpieczone przed włamaniem poprzez co najmniej wzmocnione drzwi z minimum dwoma zamkami, w tym jednym o skomplikowanym systemie otwierania, plombowane po zakończeniu pracy w danym dniu;</w:t>
      </w:r>
    </w:p>
    <w:p w:rsidR="0055092F" w:rsidRDefault="0055092F">
      <w:pPr>
        <w:pStyle w:val="NormalnyWeb"/>
        <w:numPr>
          <w:ilvl w:val="0"/>
          <w:numId w:val="44"/>
        </w:numPr>
        <w:spacing w:before="0" w:after="0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być zabezpieczone przed pożarem poprzez co najmniej system wykrywania ognia i dymu oraz gaśnice odpowiednie do potencjalnego źródła pożaru;</w:t>
      </w:r>
    </w:p>
    <w:p w:rsidR="0055092F" w:rsidRDefault="0055092F">
      <w:pPr>
        <w:pStyle w:val="NormalnyWeb"/>
        <w:numPr>
          <w:ilvl w:val="0"/>
          <w:numId w:val="44"/>
        </w:numPr>
        <w:spacing w:before="0" w:after="0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być zabezpieczone przed bezpośrednim działaniem promieni słonecznych poprzez zastosowanie w oknach zasłon, żaluzji, szyb lub folii chroniących przed promieniowaniem UV;</w:t>
      </w:r>
    </w:p>
    <w:p w:rsidR="0055092F" w:rsidRDefault="0055092F">
      <w:pPr>
        <w:pStyle w:val="NormalnyWeb"/>
        <w:numPr>
          <w:ilvl w:val="0"/>
          <w:numId w:val="44"/>
        </w:numPr>
        <w:spacing w:before="0" w:after="0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zapewniać możliwość stałego dostępu do całości przechowywanej dokumentacji bez potrzeby przestawiania części dokumentacji w celu dotarcia do innej;</w:t>
      </w:r>
    </w:p>
    <w:p w:rsidR="0055092F" w:rsidRDefault="0055092F">
      <w:pPr>
        <w:pStyle w:val="NormalnyWeb"/>
        <w:numPr>
          <w:ilvl w:val="0"/>
          <w:numId w:val="44"/>
        </w:numPr>
        <w:spacing w:before="0" w:after="0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posiadać oświetlenie zapewniające odpowiednią widoczność bez potrzeby korzystania z przenośnego źródła światła.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12.</w:t>
      </w:r>
    </w:p>
    <w:p w:rsidR="0055092F" w:rsidRDefault="0055092F">
      <w:pPr>
        <w:pStyle w:val="NormalnyWeb"/>
        <w:numPr>
          <w:ilvl w:val="0"/>
          <w:numId w:val="45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Magazyny składnicy akt wyposaża się w:</w:t>
      </w:r>
    </w:p>
    <w:p w:rsidR="0055092F" w:rsidRDefault="0055092F">
      <w:pPr>
        <w:pStyle w:val="NormalnyWeb"/>
        <w:numPr>
          <w:ilvl w:val="0"/>
          <w:numId w:val="14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ponumerowane regały metalowe stacjonarne lub przesuwne (jezdne), zabezpieczone przed korozją, przy czym regały stacjonarne powinny być usytuowane prostopadle do okien oraz oddalone od ścian minimum 5 cm, z przejściem między nimi minimum 80 cm, o wysokości i szerokości półek dostosowanej do rozmiaru dokumentacji, z odstępem od sufitu i podłogi;</w:t>
      </w:r>
    </w:p>
    <w:p w:rsidR="0055092F" w:rsidRDefault="0055092F">
      <w:pPr>
        <w:pStyle w:val="NormalnyWeb"/>
        <w:numPr>
          <w:ilvl w:val="0"/>
          <w:numId w:val="14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drabinki lub schodki umożliwiające lepszy dostęp do wyżej usytuowanych półek;</w:t>
      </w:r>
    </w:p>
    <w:p w:rsidR="0055092F" w:rsidRDefault="0055092F">
      <w:pPr>
        <w:pStyle w:val="NormalnyWeb"/>
        <w:numPr>
          <w:ilvl w:val="0"/>
          <w:numId w:val="14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sprzęt do pomiaru temperatury i wilgotności powietrza;</w:t>
      </w:r>
    </w:p>
    <w:p w:rsidR="0055092F" w:rsidRDefault="0055092F">
      <w:pPr>
        <w:pStyle w:val="NormalnyWeb"/>
        <w:numPr>
          <w:ilvl w:val="0"/>
          <w:numId w:val="14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podręczny sprzęt gaśniczy;</w:t>
      </w:r>
    </w:p>
    <w:p w:rsidR="0055092F" w:rsidRDefault="0055092F">
      <w:pPr>
        <w:pStyle w:val="NormalnyWeb"/>
        <w:numPr>
          <w:ilvl w:val="0"/>
          <w:numId w:val="14"/>
        </w:numPr>
        <w:spacing w:before="0" w:after="12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schemat topograficzny rozmieszczenia dokumentacji, umieszczony w widocznym miejscu.</w:t>
      </w:r>
    </w:p>
    <w:p w:rsidR="0055092F" w:rsidRDefault="0055092F">
      <w:pPr>
        <w:pStyle w:val="NormalnyWeb"/>
        <w:numPr>
          <w:ilvl w:val="0"/>
          <w:numId w:val="45"/>
        </w:numPr>
        <w:spacing w:before="0" w:after="12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Numerowanie regałów, o którym mowa w ust. 1 pkt 1, polega na nadaniu unikatowej liczby rzymskiej regałom i unikatowej liczby arabskiej poszczególnym półkom w obrębie regału.</w:t>
      </w:r>
    </w:p>
    <w:p w:rsidR="0055092F" w:rsidRDefault="0055092F">
      <w:pPr>
        <w:pStyle w:val="NormalnyWeb"/>
        <w:numPr>
          <w:ilvl w:val="0"/>
          <w:numId w:val="45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 magazynach składnicy akt:</w:t>
      </w:r>
    </w:p>
    <w:p w:rsidR="0055092F" w:rsidRDefault="0055092F">
      <w:pPr>
        <w:pStyle w:val="NormalnyWeb"/>
        <w:numPr>
          <w:ilvl w:val="0"/>
          <w:numId w:val="40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nie mogą się znajdować przedmioty i urządzenia inne niż bezpośrednio związane z przechowywaniem i zabezpieczaniem dokumentacji;</w:t>
      </w:r>
    </w:p>
    <w:p w:rsidR="0055092F" w:rsidRDefault="0055092F">
      <w:pPr>
        <w:pStyle w:val="NormalnyWeb"/>
        <w:numPr>
          <w:ilvl w:val="0"/>
          <w:numId w:val="40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nie wolno stosować farb i lakierów zawierających rozpuszczalniki organiczne,  a zwłaszcza formaldehyd, ksylen i toluen;</w:t>
      </w:r>
    </w:p>
    <w:p w:rsidR="0055092F" w:rsidRDefault="0055092F">
      <w:pPr>
        <w:pStyle w:val="NormalnyWeb"/>
        <w:numPr>
          <w:ilvl w:val="0"/>
          <w:numId w:val="40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nie mogą się znajdować rury i przewody wodociągowe, kanalizacyjne, gazowe, chyba że sposób ich zabezpieczenia nie zagraża przechowywanej dokumentacji;</w:t>
      </w:r>
    </w:p>
    <w:p w:rsidR="0055092F" w:rsidRDefault="0055092F">
      <w:pPr>
        <w:pStyle w:val="NormalnyWeb"/>
        <w:numPr>
          <w:ilvl w:val="0"/>
          <w:numId w:val="40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lastRenderedPageBreak/>
        <w:t>jako źródeł światła sztucznego należy używać świetlówek o obniżonej emisji promieniowania UV, przy czym maksymalne natężenie światła nie może przekraczać 200 luksów;</w:t>
      </w:r>
    </w:p>
    <w:p w:rsidR="0055092F" w:rsidRDefault="0055092F">
      <w:pPr>
        <w:pStyle w:val="NormalnyWeb"/>
        <w:numPr>
          <w:ilvl w:val="0"/>
          <w:numId w:val="40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posadzka w pomieszczeniu magazynowym powinna być wykonana z powłoki niepylącej, łatwej do utrzymania w czystości (w szczególności płytka ceramiczna, wykładzina zmywalna);</w:t>
      </w:r>
    </w:p>
    <w:p w:rsidR="0055092F" w:rsidRDefault="0055092F">
      <w:pPr>
        <w:pStyle w:val="NormalnyWeb"/>
        <w:numPr>
          <w:ilvl w:val="0"/>
          <w:numId w:val="40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należy utrzymywać warunki wilgotności i temperatury, określone w załączniku nr 1 do instrukcji archiwalnej;</w:t>
      </w:r>
    </w:p>
    <w:p w:rsidR="0055092F" w:rsidRDefault="0055092F">
      <w:pPr>
        <w:pStyle w:val="NormalnyWeb"/>
        <w:numPr>
          <w:ilvl w:val="0"/>
          <w:numId w:val="40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należy rejestrować codziennie warunki wilgotności i temperatury, a wyniki kontrolować przynajmniej raz w tygodniu</w:t>
      </w:r>
    </w:p>
    <w:p w:rsidR="0055092F" w:rsidRDefault="0055092F">
      <w:pPr>
        <w:pStyle w:val="NormalnyWeb"/>
        <w:numPr>
          <w:ilvl w:val="0"/>
          <w:numId w:val="40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należy regularnie sprzątać, tak by chronić dokumentację przed kurzem, infekcją grzybów pleśniowych oraz zniszczeniami powodowanymi przez owady i gryzonie.</w:t>
      </w:r>
    </w:p>
    <w:p w:rsidR="0055092F" w:rsidRDefault="0055092F">
      <w:pPr>
        <w:pStyle w:val="NormalnyWeb"/>
        <w:tabs>
          <w:tab w:val="left" w:pos="794"/>
        </w:tabs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13.</w:t>
      </w:r>
    </w:p>
    <w:p w:rsidR="0055092F" w:rsidRDefault="0055092F">
      <w:pPr>
        <w:pStyle w:val="NormalnyWeb"/>
        <w:tabs>
          <w:tab w:val="left" w:pos="794"/>
        </w:tabs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Wstęp do lokalu składnicy akt jest możliwy tylko w obecności archiwisty.</w:t>
      </w:r>
    </w:p>
    <w:p w:rsidR="0055092F" w:rsidRDefault="0055092F">
      <w:pPr>
        <w:pStyle w:val="NormalnyWeb"/>
        <w:spacing w:before="0" w:after="0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agwek1"/>
        <w:rPr>
          <w:rFonts w:ascii="Palatino Linotype" w:hAnsi="Palatino Linotype" w:cs="Palatino Linotype"/>
          <w:sz w:val="22"/>
          <w:szCs w:val="24"/>
        </w:rPr>
      </w:pPr>
      <w:r>
        <w:rPr>
          <w:rFonts w:ascii="Palatino Linotype" w:hAnsi="Palatino Linotype" w:cs="Arial"/>
          <w:bCs/>
          <w:sz w:val="22"/>
          <w:szCs w:val="24"/>
        </w:rPr>
        <w:t>ROZDZIAŁ 5</w:t>
      </w:r>
    </w:p>
    <w:p w:rsidR="0055092F" w:rsidRDefault="0055092F">
      <w:pPr>
        <w:pStyle w:val="Nagwek2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i w:val="0"/>
          <w:sz w:val="22"/>
          <w:szCs w:val="24"/>
        </w:rPr>
        <w:t xml:space="preserve">Przejmowanie dokumentacji do </w:t>
      </w:r>
      <w:r>
        <w:rPr>
          <w:rFonts w:ascii="Palatino Linotype" w:hAnsi="Palatino Linotype" w:cs="Palatino Linotype"/>
          <w:i w:val="0"/>
          <w:sz w:val="22"/>
          <w:szCs w:val="22"/>
        </w:rPr>
        <w:t>składnicy akt.</w:t>
      </w:r>
    </w:p>
    <w:p w:rsidR="0055092F" w:rsidRDefault="0055092F">
      <w:pPr>
        <w:pStyle w:val="NormalnyWeb"/>
        <w:spacing w:before="0" w:after="0"/>
        <w:ind w:left="360"/>
        <w:jc w:val="center"/>
        <w:rPr>
          <w:rFonts w:ascii="Palatino Linotype" w:hAnsi="Palatino Linotype" w:cs="Palatino Linotype"/>
          <w:b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14.</w:t>
      </w:r>
    </w:p>
    <w:p w:rsidR="0055092F" w:rsidRDefault="0055092F">
      <w:pPr>
        <w:pStyle w:val="NormalnyWeb"/>
        <w:numPr>
          <w:ilvl w:val="3"/>
          <w:numId w:val="44"/>
        </w:numPr>
        <w:spacing w:before="0" w:after="120"/>
        <w:jc w:val="both"/>
        <w:rPr>
          <w:rFonts w:ascii="Palatino Linotype" w:hAnsi="Palatino Linotype" w:cs="Palatino Linotype"/>
          <w:color w:val="000000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Przekazywanie dokumentacji do składnicy akt następuje w trybie i na warunkach, określonych w instrukcji kancelaryjnej.</w:t>
      </w:r>
    </w:p>
    <w:p w:rsidR="0055092F" w:rsidRDefault="0055092F">
      <w:pPr>
        <w:pStyle w:val="NormalnyWeb"/>
        <w:numPr>
          <w:ilvl w:val="3"/>
          <w:numId w:val="44"/>
        </w:numPr>
        <w:spacing w:before="0" w:after="120"/>
        <w:jc w:val="both"/>
        <w:rPr>
          <w:rFonts w:ascii="Palatino Linotype" w:hAnsi="Palatino Linotype" w:cs="Palatino Linotype"/>
          <w:color w:val="000000"/>
          <w:sz w:val="22"/>
          <w:szCs w:val="22"/>
        </w:rPr>
      </w:pPr>
      <w:r>
        <w:rPr>
          <w:rFonts w:ascii="Palatino Linotype" w:hAnsi="Palatino Linotype" w:cs="Palatino Linotype"/>
          <w:color w:val="000000"/>
          <w:sz w:val="22"/>
          <w:szCs w:val="22"/>
        </w:rPr>
        <w:t>Komórki organizacyjne przekazują dokumentację według ustalonego z archiwistą terminarza</w:t>
      </w:r>
    </w:p>
    <w:p w:rsidR="0055092F" w:rsidRDefault="0055092F">
      <w:pPr>
        <w:pStyle w:val="NormalnyWeb"/>
        <w:numPr>
          <w:ilvl w:val="3"/>
          <w:numId w:val="44"/>
        </w:numPr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color w:val="000000"/>
          <w:sz w:val="22"/>
          <w:szCs w:val="22"/>
        </w:rPr>
        <w:t>Przekazywanie dokumentacji odbywa się na podstawie spisu zdawczo-odbiorczego akt. Dokumentację przed przekazaniem przegląda i porządkuje prowadzący sprawę z komórki organizacyjnej przekazującej dokumentację.</w:t>
      </w:r>
    </w:p>
    <w:p w:rsidR="0055092F" w:rsidRDefault="0055092F">
      <w:pPr>
        <w:pStyle w:val="NormalnyWeb"/>
        <w:spacing w:before="0" w:after="0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15.</w:t>
      </w:r>
    </w:p>
    <w:p w:rsidR="0055092F" w:rsidRDefault="0055092F">
      <w:pPr>
        <w:widowControl w:val="0"/>
        <w:numPr>
          <w:ilvl w:val="1"/>
          <w:numId w:val="22"/>
        </w:numPr>
        <w:autoSpaceDE w:val="0"/>
        <w:jc w:val="both"/>
        <w:rPr>
          <w:rStyle w:val="FontStyle74"/>
          <w:rFonts w:ascii="Palatino Linotype" w:hAnsi="Palatino Linotype" w:cs="Palatino Linotype"/>
          <w:b w:val="0"/>
          <w:bCs w:val="0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Archiwista może odmówić przejęcia dokumentacji, jeżeli:</w:t>
      </w:r>
    </w:p>
    <w:p w:rsidR="0055092F" w:rsidRDefault="0055092F">
      <w:pPr>
        <w:widowControl w:val="0"/>
        <w:numPr>
          <w:ilvl w:val="0"/>
          <w:numId w:val="17"/>
        </w:numPr>
        <w:autoSpaceDE w:val="0"/>
        <w:jc w:val="both"/>
        <w:rPr>
          <w:rStyle w:val="FontStyle74"/>
          <w:rFonts w:ascii="Palatino Linotype" w:hAnsi="Palatino Linotype" w:cs="Palatino Linotype"/>
          <w:b w:val="0"/>
          <w:bCs w:val="0"/>
          <w:sz w:val="22"/>
          <w:szCs w:val="22"/>
        </w:rPr>
      </w:pPr>
      <w:r>
        <w:rPr>
          <w:rStyle w:val="FontStyle74"/>
          <w:rFonts w:ascii="Palatino Linotype" w:hAnsi="Palatino Linotype" w:cs="Palatino Linotype"/>
          <w:b w:val="0"/>
          <w:bCs w:val="0"/>
          <w:sz w:val="22"/>
          <w:szCs w:val="22"/>
        </w:rPr>
        <w:t>dokumentacja nie została uporządkowana w sposób określony w instrukcji kancelaryjnej;</w:t>
      </w:r>
    </w:p>
    <w:p w:rsidR="0055092F" w:rsidRDefault="0055092F">
      <w:pPr>
        <w:widowControl w:val="0"/>
        <w:numPr>
          <w:ilvl w:val="0"/>
          <w:numId w:val="17"/>
        </w:numPr>
        <w:autoSpaceDE w:val="0"/>
        <w:jc w:val="both"/>
        <w:rPr>
          <w:rStyle w:val="FontStyle74"/>
          <w:rFonts w:ascii="Palatino Linotype" w:hAnsi="Palatino Linotype" w:cs="Palatino Linotype"/>
          <w:b w:val="0"/>
          <w:bCs w:val="0"/>
          <w:sz w:val="22"/>
          <w:szCs w:val="22"/>
        </w:rPr>
      </w:pPr>
      <w:r>
        <w:rPr>
          <w:rStyle w:val="FontStyle74"/>
          <w:rFonts w:ascii="Palatino Linotype" w:hAnsi="Palatino Linotype" w:cs="Palatino Linotype"/>
          <w:b w:val="0"/>
          <w:bCs w:val="0"/>
          <w:sz w:val="22"/>
          <w:szCs w:val="22"/>
        </w:rPr>
        <w:t>spisy zdawczo-odbiorcze, zawierają braki lub błędy;</w:t>
      </w:r>
    </w:p>
    <w:p w:rsidR="0055092F" w:rsidRDefault="0055092F">
      <w:pPr>
        <w:widowControl w:val="0"/>
        <w:numPr>
          <w:ilvl w:val="0"/>
          <w:numId w:val="17"/>
        </w:numPr>
        <w:autoSpaceDE w:val="0"/>
        <w:spacing w:after="120"/>
        <w:jc w:val="both"/>
        <w:rPr>
          <w:rStyle w:val="FontStyle74"/>
          <w:rFonts w:ascii="Palatino Linotype" w:hAnsi="Palatino Linotype" w:cs="Palatino Linotype"/>
          <w:b w:val="0"/>
          <w:bCs w:val="0"/>
          <w:sz w:val="22"/>
          <w:szCs w:val="22"/>
        </w:rPr>
      </w:pPr>
      <w:r>
        <w:rPr>
          <w:rStyle w:val="FontStyle74"/>
          <w:rFonts w:ascii="Palatino Linotype" w:hAnsi="Palatino Linotype" w:cs="Palatino Linotype"/>
          <w:b w:val="0"/>
          <w:bCs w:val="0"/>
          <w:sz w:val="22"/>
          <w:szCs w:val="22"/>
        </w:rPr>
        <w:t>dokumentacja nie odpowiada spisom zdawczo-odbiorczym.</w:t>
      </w:r>
    </w:p>
    <w:p w:rsidR="0055092F" w:rsidRDefault="0055092F">
      <w:pPr>
        <w:widowControl w:val="0"/>
        <w:numPr>
          <w:ilvl w:val="1"/>
          <w:numId w:val="22"/>
        </w:numPr>
        <w:autoSpaceDE w:val="0"/>
        <w:jc w:val="both"/>
        <w:rPr>
          <w:rFonts w:ascii="Palatino Linotype" w:hAnsi="Palatino Linotype" w:cs="Palatino Linotype"/>
          <w:b/>
          <w:sz w:val="22"/>
          <w:szCs w:val="22"/>
        </w:rPr>
      </w:pPr>
      <w:r>
        <w:rPr>
          <w:rStyle w:val="FontStyle74"/>
          <w:rFonts w:ascii="Palatino Linotype" w:hAnsi="Palatino Linotype" w:cs="Palatino Linotype"/>
          <w:b w:val="0"/>
          <w:bCs w:val="0"/>
          <w:sz w:val="22"/>
          <w:szCs w:val="22"/>
        </w:rPr>
        <w:t xml:space="preserve">O powodach odmowy przejęcia dokumentacji archiwista może powiadomić </w:t>
      </w:r>
      <w:r>
        <w:rPr>
          <w:rFonts w:ascii="Palatino Linotype" w:hAnsi="Palatino Linotype" w:cs="Palatino Linotype"/>
          <w:color w:val="000000"/>
          <w:spacing w:val="6"/>
          <w:sz w:val="22"/>
          <w:szCs w:val="22"/>
        </w:rPr>
        <w:t>kierownika komórki organizacyjnej, która akta przygotowała o</w:t>
      </w:r>
      <w:r w:rsidR="008122B1">
        <w:rPr>
          <w:rFonts w:ascii="Palatino Linotype" w:hAnsi="Palatino Linotype" w:cs="Palatino Linotype"/>
          <w:color w:val="000000"/>
          <w:spacing w:val="6"/>
          <w:sz w:val="22"/>
          <w:szCs w:val="22"/>
        </w:rPr>
        <w:t>raz Dyrektora MP 37</w:t>
      </w: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b/>
          <w:sz w:val="22"/>
          <w:szCs w:val="22"/>
        </w:rPr>
      </w:pPr>
    </w:p>
    <w:p w:rsidR="0055092F" w:rsidRDefault="008122B1">
      <w:pPr>
        <w:pStyle w:val="NormalnyWeb"/>
        <w:spacing w:before="0" w:after="0"/>
        <w:jc w:val="center"/>
        <w:rPr>
          <w:rFonts w:ascii="Palatino Linotype" w:hAnsi="Palatino Linotype" w:cs="Palatino Linotype"/>
          <w:b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.</w:t>
      </w:r>
    </w:p>
    <w:p w:rsidR="0055092F" w:rsidRDefault="0055092F">
      <w:pPr>
        <w:pStyle w:val="Nagwek1"/>
        <w:spacing w:after="120"/>
        <w:rPr>
          <w:rFonts w:ascii="Palatino Linotype" w:hAnsi="Palatino Linotype" w:cs="Palatino Linotype"/>
          <w:sz w:val="22"/>
          <w:szCs w:val="24"/>
        </w:rPr>
      </w:pPr>
      <w:r>
        <w:rPr>
          <w:rFonts w:ascii="Palatino Linotype" w:hAnsi="Palatino Linotype" w:cs="Arial"/>
          <w:bCs/>
          <w:sz w:val="22"/>
          <w:szCs w:val="24"/>
        </w:rPr>
        <w:t xml:space="preserve">ROZDZIAŁ 6 </w:t>
      </w:r>
    </w:p>
    <w:p w:rsidR="0055092F" w:rsidRDefault="0055092F">
      <w:pPr>
        <w:pStyle w:val="Nagwek2"/>
        <w:spacing w:before="0" w:after="120"/>
        <w:jc w:val="center"/>
        <w:rPr>
          <w:rFonts w:ascii="Palatino Linotype" w:hAnsi="Palatino Linotype" w:cs="Palatino Linotype"/>
          <w:sz w:val="22"/>
        </w:rPr>
      </w:pPr>
      <w:r>
        <w:rPr>
          <w:rFonts w:ascii="Palatino Linotype" w:hAnsi="Palatino Linotype" w:cs="Palatino Linotype"/>
          <w:i w:val="0"/>
          <w:sz w:val="22"/>
          <w:szCs w:val="24"/>
        </w:rPr>
        <w:t>Przechowywanie i zabezpieczanie zgromadzonej dokumentacji oraz prowadzenie jej ewidencji</w:t>
      </w:r>
    </w:p>
    <w:p w:rsidR="0055092F" w:rsidRDefault="0055092F">
      <w:pPr>
        <w:spacing w:line="276" w:lineRule="auto"/>
        <w:jc w:val="center"/>
        <w:rPr>
          <w:rFonts w:ascii="Palatino Linotype" w:hAnsi="Palatino Linotype" w:cs="Palatino Linotype"/>
          <w:b/>
          <w:bCs/>
          <w:sz w:val="22"/>
        </w:rPr>
      </w:pPr>
    </w:p>
    <w:p w:rsidR="0055092F" w:rsidRDefault="0055092F">
      <w:pPr>
        <w:spacing w:line="276" w:lineRule="auto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bCs/>
          <w:sz w:val="22"/>
          <w:szCs w:val="22"/>
        </w:rPr>
        <w:lastRenderedPageBreak/>
        <w:t>§ 16.</w:t>
      </w:r>
    </w:p>
    <w:p w:rsidR="0055092F" w:rsidRDefault="0055092F">
      <w:pPr>
        <w:pStyle w:val="Tekstpodstawowy21"/>
        <w:spacing w:after="0" w:line="276" w:lineRule="auto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Po przejęciu dokumentacji w postaci nieelektronicznej lub informatycznych nośników danych, w przypadku gdy składnicy akt nie dysponuje narzędziami, o których mowa w § 4 ust. 1 pkt 2, archiwista kolejno:</w:t>
      </w:r>
    </w:p>
    <w:p w:rsidR="0055092F" w:rsidRDefault="0055092F">
      <w:pPr>
        <w:pStyle w:val="Tekstpodstawowy21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rejestruje spis zdawczo-odbiorczy w wykazie spisów zdawczo-odbiorczych zawierającym co najmniej następujące elementy:</w:t>
      </w:r>
    </w:p>
    <w:p w:rsidR="0055092F" w:rsidRDefault="0055092F">
      <w:pPr>
        <w:pStyle w:val="Tekstpodstawowy21"/>
        <w:numPr>
          <w:ilvl w:val="0"/>
          <w:numId w:val="47"/>
        </w:numPr>
        <w:spacing w:after="0" w:line="276" w:lineRule="auto"/>
        <w:ind w:left="567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liczbę porządkową stanowiącą kolejny numer spisu zdawczo-odbiorczego,</w:t>
      </w:r>
    </w:p>
    <w:p w:rsidR="0055092F" w:rsidRDefault="0055092F">
      <w:pPr>
        <w:pStyle w:val="Tekstpodstawowy21"/>
        <w:numPr>
          <w:ilvl w:val="0"/>
          <w:numId w:val="47"/>
        </w:numPr>
        <w:spacing w:after="0" w:line="276" w:lineRule="auto"/>
        <w:ind w:left="567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datę przejęcia dokumentacji składnicę akt,</w:t>
      </w:r>
    </w:p>
    <w:p w:rsidR="0055092F" w:rsidRDefault="0055092F">
      <w:pPr>
        <w:pStyle w:val="Tekstpodstawowy21"/>
        <w:numPr>
          <w:ilvl w:val="0"/>
          <w:numId w:val="47"/>
        </w:numPr>
        <w:spacing w:after="0" w:line="276" w:lineRule="auto"/>
        <w:ind w:left="567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pełną nazwę</w:t>
      </w:r>
      <w:r w:rsidR="008122B1">
        <w:rPr>
          <w:rFonts w:ascii="Palatino Linotype" w:hAnsi="Palatino Linotype" w:cs="Palatino Linotype"/>
          <w:sz w:val="22"/>
          <w:szCs w:val="22"/>
        </w:rPr>
        <w:t xml:space="preserve"> MP37</w:t>
      </w:r>
      <w:r>
        <w:rPr>
          <w:rFonts w:ascii="Palatino Linotype" w:hAnsi="Palatino Linotype" w:cs="Palatino Linotype"/>
          <w:b/>
          <w:bCs/>
          <w:i/>
          <w:color w:val="FF0000"/>
          <w:sz w:val="22"/>
          <w:szCs w:val="22"/>
        </w:rPr>
        <w:t xml:space="preserve"> </w:t>
      </w:r>
      <w:r>
        <w:rPr>
          <w:rFonts w:ascii="Palatino Linotype" w:hAnsi="Palatino Linotype" w:cs="Palatino Linotype"/>
          <w:sz w:val="22"/>
          <w:szCs w:val="22"/>
        </w:rPr>
        <w:t>i komórki organizacyjnej przekazującej dokumentację,</w:t>
      </w:r>
    </w:p>
    <w:p w:rsidR="0055092F" w:rsidRDefault="0055092F">
      <w:pPr>
        <w:pStyle w:val="Tekstpodstawowy21"/>
        <w:numPr>
          <w:ilvl w:val="0"/>
          <w:numId w:val="47"/>
        </w:numPr>
        <w:spacing w:after="0" w:line="276" w:lineRule="auto"/>
        <w:ind w:left="567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nazwę jednostki organizacyjnej i komórki organizacyjnej, która dokumentację wytworzyła lub zgromadziła, jeżeli jest inna niż nazwa podmiotu i komórki organizacyjnej przekazującej dokumentację,</w:t>
      </w:r>
    </w:p>
    <w:p w:rsidR="0055092F" w:rsidRDefault="0055092F">
      <w:pPr>
        <w:pStyle w:val="Tekstpodstawowy21"/>
        <w:numPr>
          <w:ilvl w:val="0"/>
          <w:numId w:val="47"/>
        </w:numPr>
        <w:spacing w:after="0" w:line="276" w:lineRule="auto"/>
        <w:ind w:left="567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liczbę pozycji w spisie,</w:t>
      </w:r>
    </w:p>
    <w:p w:rsidR="0055092F" w:rsidRDefault="0055092F">
      <w:pPr>
        <w:pStyle w:val="Tekstpodstawowy21"/>
        <w:numPr>
          <w:ilvl w:val="0"/>
          <w:numId w:val="47"/>
        </w:numPr>
        <w:spacing w:after="0" w:line="276" w:lineRule="auto"/>
        <w:ind w:left="567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liczbę teczek lub tomów teczek w spisie;</w:t>
      </w:r>
    </w:p>
    <w:p w:rsidR="0055092F" w:rsidRDefault="0055092F">
      <w:pPr>
        <w:pStyle w:val="Tekstpodstawowy21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nanosi w prawym górnym rogu na spisie zdawczo-odbiorczym numer tego spisu wynikający z wykazu spisów;</w:t>
      </w:r>
    </w:p>
    <w:p w:rsidR="0055092F" w:rsidRDefault="0055092F">
      <w:pPr>
        <w:pStyle w:val="Tekstpodstawowy21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pozostawia w komórce organizacyjnej podpisany przez siebie pierwszy egzemplarz spisu zdawczo-odbiorczego;</w:t>
      </w:r>
    </w:p>
    <w:p w:rsidR="0055092F" w:rsidRDefault="0055092F">
      <w:pPr>
        <w:pStyle w:val="Tekstpodstawowy21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dla każdej pozycji przekazanego spisu zdawczo-odbiorczego, przyporządkowuje informację o aktualnym miejscu przechowywania przekazanej dokumentacji w składnicy akt;</w:t>
      </w:r>
    </w:p>
    <w:p w:rsidR="0055092F" w:rsidRDefault="0055092F">
      <w:pPr>
        <w:pStyle w:val="Tekstpodstawowy21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nanosi w lewym dolnym rogu sygnaturę archiwalną, czyli numer spisu zdawczo-odbiorczego łamany przez liczbę porządkową pozycji teczki w spisie, na każdą teczkę aktową, , a jeżeli teczki włożono do pudła, to na pudło nanosi się skrajne sygnatury teczek aktowych umieszczonych w pudle;</w:t>
      </w:r>
    </w:p>
    <w:p w:rsidR="0055092F" w:rsidRDefault="0055092F">
      <w:pPr>
        <w:pStyle w:val="Tekstpodstawowy21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Palatino Linotype" w:hAnsi="Palatino Linotype" w:cs="Palatino Linotype"/>
          <w:b/>
          <w:bCs/>
          <w:sz w:val="22"/>
        </w:rPr>
      </w:pPr>
      <w:r>
        <w:rPr>
          <w:rFonts w:ascii="Palatino Linotype" w:hAnsi="Palatino Linotype" w:cs="Palatino Linotype"/>
          <w:sz w:val="22"/>
          <w:szCs w:val="22"/>
        </w:rPr>
        <w:t>odkłada egzemplarze spisu zdawczo-odbiorczego do odpowiednich zbiorów, o których mowa w § 17 ust. 1</w:t>
      </w:r>
    </w:p>
    <w:p w:rsidR="0055092F" w:rsidRDefault="0055092F">
      <w:pPr>
        <w:spacing w:line="276" w:lineRule="auto"/>
        <w:ind w:left="360"/>
        <w:jc w:val="center"/>
        <w:rPr>
          <w:rFonts w:ascii="Palatino Linotype" w:hAnsi="Palatino Linotype" w:cs="Palatino Linotype"/>
          <w:b/>
          <w:bCs/>
          <w:sz w:val="22"/>
        </w:rPr>
      </w:pPr>
    </w:p>
    <w:p w:rsidR="0055092F" w:rsidRDefault="0055092F">
      <w:pPr>
        <w:tabs>
          <w:tab w:val="left" w:pos="4253"/>
        </w:tabs>
        <w:spacing w:after="120" w:line="276" w:lineRule="auto"/>
        <w:ind w:left="36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bCs/>
          <w:sz w:val="22"/>
          <w:szCs w:val="22"/>
        </w:rPr>
        <w:t>§ 17</w:t>
      </w:r>
      <w:r>
        <w:rPr>
          <w:rFonts w:ascii="Palatino Linotype" w:hAnsi="Palatino Linotype" w:cs="Palatino Linotype"/>
          <w:b/>
          <w:bCs/>
          <w:sz w:val="22"/>
        </w:rPr>
        <w:t>.</w:t>
      </w:r>
    </w:p>
    <w:p w:rsidR="0055092F" w:rsidRDefault="0055092F">
      <w:pPr>
        <w:pStyle w:val="Tekstpodstawowy"/>
        <w:numPr>
          <w:ilvl w:val="0"/>
          <w:numId w:val="34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Archiwista prowadzi dwa zbiory spisów zdawczo-odbiorczych:</w:t>
      </w:r>
    </w:p>
    <w:p w:rsidR="0055092F" w:rsidRDefault="0055092F">
      <w:pPr>
        <w:pStyle w:val="NormalnyWeb"/>
        <w:numPr>
          <w:ilvl w:val="0"/>
          <w:numId w:val="19"/>
        </w:numPr>
        <w:spacing w:before="0" w:after="0"/>
        <w:ind w:left="567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zbiór pierwszy na drugie egzemplarze spisów zdawczo-odbiorczych w układzie wynikającym z kolejności wpisu do wykazu spisów zdawczo-odbiorczych;</w:t>
      </w:r>
    </w:p>
    <w:p w:rsidR="0055092F" w:rsidRDefault="0055092F">
      <w:pPr>
        <w:pStyle w:val="NormalnyWeb"/>
        <w:numPr>
          <w:ilvl w:val="0"/>
          <w:numId w:val="19"/>
        </w:numPr>
        <w:spacing w:before="0" w:after="120"/>
        <w:ind w:left="567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zbiór drugi na trzecie egzemplarze spisów zdawczo-odbiorczych w układzie według komórek organizacyjnych przekazujących dokumentację.</w:t>
      </w:r>
    </w:p>
    <w:p w:rsidR="0055092F" w:rsidRDefault="0055092F">
      <w:pPr>
        <w:pStyle w:val="Tekstpodstawowy"/>
        <w:numPr>
          <w:ilvl w:val="0"/>
          <w:numId w:val="34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Palatino Linotype" w:hAnsi="Palatino Linotype" w:cs="Palatino Linotype"/>
          <w:sz w:val="22"/>
        </w:rPr>
      </w:pPr>
      <w:r>
        <w:rPr>
          <w:rFonts w:ascii="Palatino Linotype" w:hAnsi="Palatino Linotype" w:cs="Palatino Linotype"/>
          <w:sz w:val="22"/>
          <w:szCs w:val="22"/>
        </w:rPr>
        <w:t>Przepisów ust. 1 pkt 2 oraz ust. 2 nie stosuje się, jeżeli składnica akt posiada narzędzia informatyczne, o których mowa w § 4 ust. 1 pkt 2.</w:t>
      </w:r>
    </w:p>
    <w:p w:rsidR="0055092F" w:rsidRDefault="0055092F">
      <w:pPr>
        <w:pStyle w:val="Tekstpodstawowy"/>
        <w:spacing w:line="276" w:lineRule="auto"/>
        <w:ind w:left="284"/>
        <w:rPr>
          <w:rFonts w:ascii="Palatino Linotype" w:hAnsi="Palatino Linotype" w:cs="Palatino Linotype"/>
          <w:sz w:val="22"/>
        </w:rPr>
      </w:pPr>
    </w:p>
    <w:p w:rsidR="0055092F" w:rsidRDefault="0055092F">
      <w:pPr>
        <w:tabs>
          <w:tab w:val="left" w:pos="4253"/>
        </w:tabs>
        <w:spacing w:after="120" w:line="276" w:lineRule="auto"/>
        <w:ind w:left="36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bCs/>
          <w:sz w:val="22"/>
          <w:szCs w:val="22"/>
        </w:rPr>
        <w:t>§ 18.</w:t>
      </w:r>
    </w:p>
    <w:p w:rsidR="0055092F" w:rsidRDefault="0055092F">
      <w:pPr>
        <w:pStyle w:val="Tekstpodstawowy"/>
        <w:numPr>
          <w:ilvl w:val="0"/>
          <w:numId w:val="36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Nie rzadziej niż raz na pięć lat dokonuje się przeglądu informatycznych nośników danych z ich składu i wykonuje ich kopie bezpieczeństwa.</w:t>
      </w:r>
    </w:p>
    <w:p w:rsidR="0055092F" w:rsidRDefault="0055092F">
      <w:pPr>
        <w:pStyle w:val="Tekstpodstawowy"/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lastRenderedPageBreak/>
        <w:t>Kopie bezpieczeństwa powinny być przechowywane w sposób umożliwiający ich szybkie odnalezienie w przypadku niemożności odczytania zapisu na informatycznym nośniku danych, na którym pierwotnie zapisano dokumentację elektroniczną.</w:t>
      </w:r>
    </w:p>
    <w:p w:rsidR="0055092F" w:rsidRDefault="0055092F">
      <w:pPr>
        <w:pStyle w:val="Tekstpodstawowy"/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Kopie bezpieczeństwa mogą być zapisywane na jednym nośniku, pod warunkiem, że zapisane na nim dane są zabezpieczone przez utratą w wyniku awarii tego nośnika.</w:t>
      </w:r>
    </w:p>
    <w:p w:rsidR="0055092F" w:rsidRDefault="0055092F">
      <w:pPr>
        <w:pStyle w:val="Tekstpodstawowy"/>
        <w:numPr>
          <w:ilvl w:val="0"/>
          <w:numId w:val="36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Jeżeli nie jest możliwe wykonanie kopii bezpieczeństwa ze względu na uszkodzenie nośnika, odnotowuje się to w aktach sprawy, z którymi powiązany jest nośnik, podając:</w:t>
      </w:r>
    </w:p>
    <w:p w:rsidR="0055092F" w:rsidRDefault="0055092F">
      <w:pPr>
        <w:pStyle w:val="Tekstpodstawowy"/>
        <w:numPr>
          <w:ilvl w:val="0"/>
          <w:numId w:val="24"/>
        </w:numPr>
        <w:spacing w:after="0" w:line="276" w:lineRule="auto"/>
        <w:ind w:left="567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datę stwierdzenia uszkodzenia nośnika;</w:t>
      </w:r>
    </w:p>
    <w:p w:rsidR="0055092F" w:rsidRDefault="0055092F">
      <w:pPr>
        <w:pStyle w:val="Tekstpodstawowy"/>
        <w:numPr>
          <w:ilvl w:val="0"/>
          <w:numId w:val="24"/>
        </w:numPr>
        <w:spacing w:after="0" w:line="276" w:lineRule="auto"/>
        <w:ind w:left="567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imię i nazwisko osoby sporządzającej adnotację;</w:t>
      </w:r>
    </w:p>
    <w:p w:rsidR="0055092F" w:rsidRDefault="0055092F">
      <w:pPr>
        <w:pStyle w:val="Tekstpodstawowy"/>
        <w:numPr>
          <w:ilvl w:val="0"/>
          <w:numId w:val="24"/>
        </w:numPr>
        <w:spacing w:after="0" w:line="276" w:lineRule="auto"/>
        <w:ind w:left="567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informację umożliwiającą jednoznaczne wskazanie uszkodzonego nośnika.</w:t>
      </w:r>
    </w:p>
    <w:p w:rsidR="0055092F" w:rsidRDefault="0055092F">
      <w:pPr>
        <w:pStyle w:val="Tekstpodstawowy"/>
        <w:spacing w:line="276" w:lineRule="auto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Tekstpodstawowy"/>
        <w:tabs>
          <w:tab w:val="left" w:pos="4395"/>
        </w:tabs>
        <w:spacing w:line="276" w:lineRule="auto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bCs/>
          <w:sz w:val="22"/>
          <w:szCs w:val="22"/>
        </w:rPr>
        <w:t>§ 19.</w:t>
      </w:r>
    </w:p>
    <w:p w:rsidR="0055092F" w:rsidRDefault="0055092F">
      <w:pPr>
        <w:pStyle w:val="NormalnyWeb"/>
        <w:numPr>
          <w:ilvl w:val="0"/>
          <w:numId w:val="11"/>
        </w:numPr>
        <w:spacing w:before="0" w:after="0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Dokumentację w składnicy akt układa się w sposób zapewniający jej ochronę przed uszkodzeniem, zniszczeniem lub utratą, pozwalający na efektywne wykorzystanie miejsca w tym składnicy, przy czym odrębnie przechowuje się:</w:t>
      </w:r>
    </w:p>
    <w:p w:rsidR="0055092F" w:rsidRDefault="0055092F">
      <w:pPr>
        <w:pStyle w:val="NormalnyWeb"/>
        <w:numPr>
          <w:ilvl w:val="0"/>
          <w:numId w:val="43"/>
        </w:numPr>
        <w:tabs>
          <w:tab w:val="left" w:pos="709"/>
        </w:tabs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materiały archiwalne (w przypadku stwierdzenia ich występowania);</w:t>
      </w:r>
    </w:p>
    <w:p w:rsidR="0055092F" w:rsidRDefault="0055092F">
      <w:pPr>
        <w:pStyle w:val="NormalnyWeb"/>
        <w:numPr>
          <w:ilvl w:val="0"/>
          <w:numId w:val="43"/>
        </w:numPr>
        <w:tabs>
          <w:tab w:val="left" w:pos="709"/>
        </w:tabs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akta osobowe;</w:t>
      </w:r>
    </w:p>
    <w:p w:rsidR="0055092F" w:rsidRDefault="0055092F">
      <w:pPr>
        <w:pStyle w:val="NormalnyWeb"/>
        <w:numPr>
          <w:ilvl w:val="0"/>
          <w:numId w:val="43"/>
        </w:numPr>
        <w:tabs>
          <w:tab w:val="left" w:pos="709"/>
        </w:tabs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listy płac,</w:t>
      </w:r>
    </w:p>
    <w:p w:rsidR="0055092F" w:rsidRDefault="0055092F">
      <w:pPr>
        <w:pStyle w:val="Akapitzlist"/>
        <w:numPr>
          <w:ilvl w:val="0"/>
          <w:numId w:val="43"/>
        </w:numPr>
        <w:spacing w:before="0" w:after="0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dokumentację techniczną;</w:t>
      </w:r>
    </w:p>
    <w:p w:rsidR="0055092F" w:rsidRDefault="0055092F">
      <w:pPr>
        <w:pStyle w:val="NormalnyWeb"/>
        <w:numPr>
          <w:ilvl w:val="0"/>
          <w:numId w:val="43"/>
        </w:numPr>
        <w:tabs>
          <w:tab w:val="left" w:pos="709"/>
        </w:tabs>
        <w:spacing w:before="0" w:after="12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informatyczne nośniki danych ze składu tych nośników.</w:t>
      </w:r>
    </w:p>
    <w:p w:rsidR="0055092F" w:rsidRDefault="0055092F">
      <w:pPr>
        <w:pStyle w:val="NormalnyWeb"/>
        <w:numPr>
          <w:ilvl w:val="0"/>
          <w:numId w:val="11"/>
        </w:numPr>
        <w:spacing w:before="0" w:after="0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Teczki aktowe zawierające dokumentację, o której mowa w ust. 1, umieszcza się dodatkowo w pudłach archiwalnych, wykonanych z tektury litej bezkwasowej.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Tekstpodstawowy"/>
        <w:tabs>
          <w:tab w:val="left" w:pos="4395"/>
        </w:tabs>
        <w:spacing w:line="276" w:lineRule="auto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bCs/>
          <w:sz w:val="22"/>
          <w:szCs w:val="22"/>
        </w:rPr>
        <w:t>§ 20.</w:t>
      </w:r>
    </w:p>
    <w:p w:rsidR="0055092F" w:rsidRDefault="0055092F">
      <w:pPr>
        <w:pStyle w:val="Tekstpodstawowy"/>
        <w:numPr>
          <w:ilvl w:val="1"/>
          <w:numId w:val="31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Palatino Linotype" w:hAnsi="Palatino Linotype" w:cs="Arial"/>
          <w:sz w:val="22"/>
        </w:rPr>
      </w:pPr>
      <w:r>
        <w:rPr>
          <w:rFonts w:ascii="Palatino Linotype" w:hAnsi="Palatino Linotype" w:cs="Palatino Linotype"/>
          <w:sz w:val="22"/>
          <w:szCs w:val="22"/>
        </w:rPr>
        <w:t>Dokumentacja, zgromadzona w składnicy akt, jest poddawana okresowemu przeglądowi w celu jej odkurzenia oraz wymiany zużytych i zniszczonych teczek czy pudeł na nowe.</w:t>
      </w:r>
    </w:p>
    <w:p w:rsidR="0055092F" w:rsidRDefault="0055092F">
      <w:pPr>
        <w:pStyle w:val="Tekstpodstawowy"/>
        <w:numPr>
          <w:ilvl w:val="1"/>
          <w:numId w:val="31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Palatino Linotype" w:hAnsi="Palatino Linotype" w:cs="Palatino Linotype"/>
          <w:b/>
          <w:sz w:val="22"/>
          <w:szCs w:val="22"/>
        </w:rPr>
      </w:pPr>
      <w:r>
        <w:rPr>
          <w:rFonts w:ascii="Palatino Linotype" w:hAnsi="Palatino Linotype" w:cs="Arial"/>
          <w:sz w:val="22"/>
        </w:rPr>
        <w:t>Uszkodzona lub częściowo zniszczona dokumentacja, szczególnie o długim okresie przechowywania poddawana jest konserwacji</w:t>
      </w:r>
      <w:r>
        <w:rPr>
          <w:rFonts w:ascii="Palatino Linotype" w:hAnsi="Palatino Linotype" w:cs="Palatino Linotype"/>
          <w:sz w:val="22"/>
          <w:szCs w:val="22"/>
        </w:rPr>
        <w:t>.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b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21.</w:t>
      </w:r>
    </w:p>
    <w:p w:rsidR="0055092F" w:rsidRDefault="0055092F">
      <w:pPr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W przypadku stwierdzenia utraty dokumentacji przechowywanej </w:t>
      </w:r>
      <w:r>
        <w:rPr>
          <w:rFonts w:ascii="Palatino Linotype" w:hAnsi="Palatino Linotype" w:cs="Palatino Linotype"/>
          <w:b/>
          <w:sz w:val="22"/>
          <w:szCs w:val="22"/>
        </w:rPr>
        <w:t>w</w:t>
      </w:r>
      <w:r>
        <w:rPr>
          <w:rFonts w:ascii="Palatino Linotype" w:hAnsi="Palatino Linotype" w:cs="Palatino Linotype"/>
          <w:sz w:val="22"/>
          <w:szCs w:val="22"/>
        </w:rPr>
        <w:t> składnicy akt, włamania do pomieszczeń magazynowych, ich zalania lub zniszczenia w inny sposób</w:t>
      </w:r>
      <w:r w:rsidR="008122B1">
        <w:rPr>
          <w:rFonts w:ascii="Palatino Linotype" w:hAnsi="Palatino Linotype" w:cs="Palatino Linotype"/>
          <w:b/>
          <w:bCs/>
          <w:color w:val="FF0000"/>
          <w:sz w:val="22"/>
          <w:szCs w:val="22"/>
        </w:rPr>
        <w:t xml:space="preserve"> </w:t>
      </w:r>
      <w:r w:rsidR="008122B1" w:rsidRPr="008122B1">
        <w:rPr>
          <w:rFonts w:ascii="Palatino Linotype" w:hAnsi="Palatino Linotype" w:cs="Palatino Linotype"/>
          <w:bCs/>
          <w:sz w:val="22"/>
          <w:szCs w:val="22"/>
        </w:rPr>
        <w:t>Dyrektor MP 37</w:t>
      </w:r>
      <w:r>
        <w:rPr>
          <w:rFonts w:ascii="Palatino Linotype" w:hAnsi="Palatino Linotype" w:cs="Palatino Linotype"/>
          <w:i/>
          <w:sz w:val="22"/>
          <w:szCs w:val="22"/>
        </w:rPr>
        <w:t xml:space="preserve"> </w:t>
      </w:r>
      <w:r>
        <w:rPr>
          <w:rFonts w:ascii="Palatino Linotype" w:hAnsi="Palatino Linotype" w:cs="Palatino Linotype"/>
          <w:sz w:val="22"/>
          <w:szCs w:val="22"/>
        </w:rPr>
        <w:t>powiadamia także właściwe archiwum państwowe.</w:t>
      </w:r>
    </w:p>
    <w:p w:rsidR="008122B1" w:rsidRDefault="008122B1">
      <w:pPr>
        <w:jc w:val="both"/>
        <w:rPr>
          <w:rFonts w:ascii="Palatino Linotype" w:hAnsi="Palatino Linotype" w:cs="Arial"/>
          <w:bCs/>
          <w:sz w:val="22"/>
        </w:rPr>
      </w:pPr>
    </w:p>
    <w:p w:rsidR="0055092F" w:rsidRDefault="0055092F">
      <w:pPr>
        <w:pStyle w:val="Nagwek1"/>
        <w:rPr>
          <w:rFonts w:ascii="Palatino Linotype" w:hAnsi="Palatino Linotype" w:cs="Palatino Linotype"/>
          <w:sz w:val="22"/>
          <w:szCs w:val="24"/>
        </w:rPr>
      </w:pPr>
      <w:r>
        <w:rPr>
          <w:rFonts w:ascii="Palatino Linotype" w:hAnsi="Palatino Linotype" w:cs="Arial"/>
          <w:bCs/>
          <w:sz w:val="22"/>
          <w:szCs w:val="24"/>
        </w:rPr>
        <w:t>ROZDZIAŁ 7</w:t>
      </w:r>
    </w:p>
    <w:p w:rsidR="0055092F" w:rsidRDefault="0055092F">
      <w:pPr>
        <w:pStyle w:val="Nagwek2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i w:val="0"/>
          <w:sz w:val="22"/>
          <w:szCs w:val="24"/>
        </w:rPr>
        <w:t xml:space="preserve">Przeprowadzanie skontrum dokumentacji w </w:t>
      </w:r>
      <w:r>
        <w:rPr>
          <w:rFonts w:ascii="Palatino Linotype" w:hAnsi="Palatino Linotype" w:cs="Palatino Linotype"/>
          <w:i w:val="0"/>
          <w:sz w:val="22"/>
          <w:szCs w:val="22"/>
        </w:rPr>
        <w:t>składnicy akt</w:t>
      </w:r>
      <w:r>
        <w:rPr>
          <w:rFonts w:ascii="Palatino Linotype" w:hAnsi="Palatino Linotype" w:cs="Palatino Linotype"/>
          <w:i w:val="0"/>
          <w:sz w:val="22"/>
          <w:szCs w:val="24"/>
        </w:rPr>
        <w:br/>
        <w:t xml:space="preserve">oraz porządkowanie dokumentacji w </w:t>
      </w:r>
      <w:r>
        <w:rPr>
          <w:rFonts w:ascii="Palatino Linotype" w:hAnsi="Palatino Linotype" w:cs="Palatino Linotype"/>
          <w:i w:val="0"/>
          <w:sz w:val="22"/>
          <w:szCs w:val="22"/>
        </w:rPr>
        <w:t>składnicy akt</w:t>
      </w:r>
    </w:p>
    <w:p w:rsidR="0055092F" w:rsidRDefault="0055092F">
      <w:pPr>
        <w:pStyle w:val="NormalnyWeb"/>
        <w:spacing w:before="0" w:after="0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22.</w:t>
      </w:r>
    </w:p>
    <w:p w:rsidR="0055092F" w:rsidRDefault="0055092F">
      <w:pPr>
        <w:jc w:val="both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Skontrum dokumentacji polega na:</w:t>
      </w:r>
    </w:p>
    <w:p w:rsidR="0055092F" w:rsidRDefault="0055092F">
      <w:pPr>
        <w:pStyle w:val="NormalnyWeb"/>
        <w:numPr>
          <w:ilvl w:val="0"/>
          <w:numId w:val="3"/>
        </w:numPr>
        <w:tabs>
          <w:tab w:val="left" w:pos="709"/>
        </w:tabs>
        <w:spacing w:before="0" w:after="0"/>
        <w:jc w:val="both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lastRenderedPageBreak/>
        <w:t>porównaniu zapisów w środkach ewidencyjnych ze stanem faktycznym dokumentacji w </w:t>
      </w:r>
      <w:r>
        <w:rPr>
          <w:rFonts w:ascii="Palatino Linotype" w:hAnsi="Palatino Linotype" w:cs="Palatino Linotype"/>
          <w:sz w:val="22"/>
          <w:szCs w:val="22"/>
        </w:rPr>
        <w:t>składnicy akt</w:t>
      </w:r>
      <w:r>
        <w:rPr>
          <w:rFonts w:ascii="Palatino Linotype" w:hAnsi="Palatino Linotype" w:cs="Arial"/>
          <w:sz w:val="22"/>
          <w:szCs w:val="22"/>
        </w:rPr>
        <w:t>;</w:t>
      </w:r>
    </w:p>
    <w:p w:rsidR="0055092F" w:rsidRDefault="0055092F">
      <w:pPr>
        <w:pStyle w:val="NormalnyWeb"/>
        <w:numPr>
          <w:ilvl w:val="0"/>
          <w:numId w:val="3"/>
        </w:numPr>
        <w:tabs>
          <w:tab w:val="left" w:pos="709"/>
        </w:tabs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>stwierdzeniu i wyjaśnieniu różnic między zapisami w środkach ewidencyjnych a stanem faktycznym dokumentacji oraz ustaleniu ewentualnych braków.</w:t>
      </w:r>
    </w:p>
    <w:p w:rsidR="0055092F" w:rsidRDefault="0055092F">
      <w:pPr>
        <w:pStyle w:val="NormalnyWeb"/>
        <w:tabs>
          <w:tab w:val="left" w:pos="709"/>
        </w:tabs>
        <w:spacing w:before="0" w:after="0"/>
        <w:ind w:left="360"/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12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23.</w:t>
      </w:r>
    </w:p>
    <w:p w:rsidR="0055092F" w:rsidRDefault="0055092F">
      <w:pPr>
        <w:numPr>
          <w:ilvl w:val="0"/>
          <w:numId w:val="2"/>
        </w:numPr>
        <w:tabs>
          <w:tab w:val="left" w:pos="426"/>
        </w:tabs>
        <w:spacing w:after="12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Skontrum przeprowadza, na polecenie</w:t>
      </w:r>
      <w:r w:rsidR="008122B1">
        <w:rPr>
          <w:rFonts w:ascii="Palatino Linotype" w:hAnsi="Palatino Linotype" w:cs="Palatino Linotype"/>
          <w:sz w:val="22"/>
          <w:szCs w:val="22"/>
        </w:rPr>
        <w:t xml:space="preserve"> Dyrektora MP 37</w:t>
      </w:r>
      <w:r>
        <w:rPr>
          <w:rFonts w:ascii="Palatino Linotype" w:hAnsi="Palatino Linotype" w:cs="Palatino Linotype"/>
          <w:i/>
          <w:sz w:val="22"/>
          <w:szCs w:val="22"/>
        </w:rPr>
        <w:t xml:space="preserve"> </w:t>
      </w:r>
      <w:r>
        <w:rPr>
          <w:rFonts w:ascii="Palatino Linotype" w:hAnsi="Palatino Linotype" w:cs="Palatino Linotype"/>
          <w:sz w:val="22"/>
          <w:szCs w:val="22"/>
        </w:rPr>
        <w:t>lub na wniosek dyrektora archiwum państwowego, komisja skontrowa, składająca się z co najmniej dwóch członków.</w:t>
      </w:r>
    </w:p>
    <w:p w:rsidR="0055092F" w:rsidRDefault="0055092F">
      <w:pPr>
        <w:numPr>
          <w:ilvl w:val="0"/>
          <w:numId w:val="2"/>
        </w:numPr>
        <w:tabs>
          <w:tab w:val="left" w:pos="426"/>
        </w:tabs>
        <w:spacing w:after="12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Liczbę członków komisji skontrowej oraz jej skład osobowy ustala</w:t>
      </w:r>
      <w:r w:rsidR="008122B1">
        <w:rPr>
          <w:rFonts w:ascii="Palatino Linotype" w:hAnsi="Palatino Linotype" w:cs="Palatino Linotype"/>
          <w:sz w:val="22"/>
          <w:szCs w:val="22"/>
        </w:rPr>
        <w:t xml:space="preserve"> Dyrektor MP 37.</w:t>
      </w:r>
    </w:p>
    <w:p w:rsidR="0055092F" w:rsidRDefault="0055092F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Z przeprowadzonego skontrum komisja skontrowa sporządza protokół, który powinien zawierać co najmniej:</w:t>
      </w:r>
    </w:p>
    <w:p w:rsidR="0055092F" w:rsidRDefault="0055092F">
      <w:pPr>
        <w:pStyle w:val="NormalnyWeb"/>
        <w:numPr>
          <w:ilvl w:val="0"/>
          <w:numId w:val="50"/>
        </w:numPr>
        <w:tabs>
          <w:tab w:val="left" w:pos="709"/>
        </w:tabs>
        <w:spacing w:before="0" w:after="0"/>
        <w:jc w:val="both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>spis nieodnalezionej dokumentacji i wnioski w tej sprawie;</w:t>
      </w:r>
    </w:p>
    <w:p w:rsidR="0055092F" w:rsidRDefault="0055092F">
      <w:pPr>
        <w:pStyle w:val="NormalnyWeb"/>
        <w:numPr>
          <w:ilvl w:val="0"/>
          <w:numId w:val="50"/>
        </w:numPr>
        <w:tabs>
          <w:tab w:val="left" w:pos="709"/>
        </w:tabs>
        <w:spacing w:before="0" w:after="0"/>
        <w:jc w:val="both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 xml:space="preserve">spisy dokumentacji, która nie była ujęta w środkach ewidencyjnych, a  była przechowywana w </w:t>
      </w:r>
      <w:r>
        <w:rPr>
          <w:rFonts w:ascii="Palatino Linotype" w:hAnsi="Palatino Linotype" w:cs="Palatino Linotype"/>
          <w:sz w:val="22"/>
          <w:szCs w:val="22"/>
        </w:rPr>
        <w:t>składnicy akt</w:t>
      </w:r>
      <w:r>
        <w:rPr>
          <w:rFonts w:ascii="Palatino Linotype" w:hAnsi="Palatino Linotype" w:cs="Arial"/>
          <w:sz w:val="22"/>
          <w:szCs w:val="22"/>
        </w:rPr>
        <w:t>;</w:t>
      </w:r>
    </w:p>
    <w:p w:rsidR="0055092F" w:rsidRDefault="0055092F">
      <w:pPr>
        <w:pStyle w:val="NormalnyWeb"/>
        <w:numPr>
          <w:ilvl w:val="0"/>
          <w:numId w:val="50"/>
        </w:numPr>
        <w:tabs>
          <w:tab w:val="left" w:pos="709"/>
        </w:tabs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Arial"/>
          <w:sz w:val="22"/>
          <w:szCs w:val="22"/>
        </w:rPr>
        <w:t>podpisy</w:t>
      </w:r>
      <w:r>
        <w:rPr>
          <w:rFonts w:ascii="Palatino Linotype" w:hAnsi="Palatino Linotype" w:cs="Palatino Linotype"/>
          <w:sz w:val="22"/>
          <w:szCs w:val="22"/>
        </w:rPr>
        <w:t xml:space="preserve"> członków komisji.</w:t>
      </w:r>
    </w:p>
    <w:p w:rsidR="0055092F" w:rsidRDefault="0055092F">
      <w:pPr>
        <w:tabs>
          <w:tab w:val="left" w:pos="1134"/>
        </w:tabs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24.</w:t>
      </w:r>
    </w:p>
    <w:p w:rsidR="0055092F" w:rsidRDefault="0055092F">
      <w:pPr>
        <w:jc w:val="both"/>
        <w:rPr>
          <w:rFonts w:ascii="Palatino Linotype" w:hAnsi="Palatino Linotype" w:cs="Palatino Linotype"/>
          <w:b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Do porządkowania zgromadzonej w składnicy akt dokumentacji, przejętej w latach wcześniejszych w stanie nieuporządkowanym, stosuje się odpowiednio przepisy instrukcji kancelaryjnej, przy czym w przypadku jeżeli porządkowana dokumentacja stanowi materiał archiwalny sposób porządkowania uzgadnia się z dyrektorem archiwum państwowego,  (szczególnie jeżeli dokumentacja nie narastała i nie była tworzona w systemie kancelaryjnym bezdziennikowym).</w:t>
      </w: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b/>
          <w:sz w:val="22"/>
          <w:szCs w:val="22"/>
        </w:rPr>
      </w:pPr>
    </w:p>
    <w:p w:rsidR="0055092F" w:rsidRDefault="0055092F">
      <w:pPr>
        <w:pStyle w:val="Nagwek1"/>
        <w:rPr>
          <w:rFonts w:ascii="Palatino Linotype" w:hAnsi="Palatino Linotype" w:cs="Palatino Linotype"/>
          <w:sz w:val="22"/>
          <w:szCs w:val="24"/>
        </w:rPr>
      </w:pPr>
      <w:r>
        <w:rPr>
          <w:rFonts w:ascii="Palatino Linotype" w:hAnsi="Palatino Linotype" w:cs="Arial"/>
          <w:bCs/>
          <w:sz w:val="22"/>
          <w:szCs w:val="24"/>
        </w:rPr>
        <w:t>ROZDZIAŁ 8</w:t>
      </w:r>
    </w:p>
    <w:p w:rsidR="0055092F" w:rsidRDefault="0055092F">
      <w:pPr>
        <w:pStyle w:val="Nagwek2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i w:val="0"/>
          <w:sz w:val="22"/>
          <w:szCs w:val="24"/>
        </w:rPr>
        <w:t xml:space="preserve">Udostępnianie dokumentacji przechowywanej w </w:t>
      </w:r>
      <w:r>
        <w:rPr>
          <w:rFonts w:ascii="Palatino Linotype" w:hAnsi="Palatino Linotype" w:cs="Palatino Linotype"/>
          <w:i w:val="0"/>
          <w:sz w:val="22"/>
          <w:szCs w:val="22"/>
        </w:rPr>
        <w:t>składnicy akt</w:t>
      </w:r>
    </w:p>
    <w:p w:rsidR="0055092F" w:rsidRDefault="0055092F">
      <w:pPr>
        <w:pStyle w:val="NormalnyWeb"/>
        <w:spacing w:before="0" w:after="0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12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25.</w:t>
      </w:r>
    </w:p>
    <w:p w:rsidR="0055092F" w:rsidRDefault="0055092F">
      <w:pPr>
        <w:pStyle w:val="Akapitzlist"/>
        <w:numPr>
          <w:ilvl w:val="3"/>
          <w:numId w:val="2"/>
        </w:numPr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Dokumentację udostępnia się:</w:t>
      </w:r>
    </w:p>
    <w:p w:rsidR="0055092F" w:rsidRDefault="0055092F">
      <w:pPr>
        <w:pStyle w:val="Akapitzlist"/>
        <w:numPr>
          <w:ilvl w:val="0"/>
          <w:numId w:val="41"/>
        </w:numPr>
        <w:spacing w:before="0" w:after="0"/>
        <w:ind w:left="851" w:hanging="425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na miejscu w składnicy akt lub</w:t>
      </w:r>
    </w:p>
    <w:p w:rsidR="0055092F" w:rsidRDefault="0055092F">
      <w:pPr>
        <w:pStyle w:val="Akapitzlist"/>
        <w:numPr>
          <w:ilvl w:val="0"/>
          <w:numId w:val="41"/>
        </w:numPr>
        <w:spacing w:before="0" w:after="0"/>
        <w:ind w:left="851" w:hanging="425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przez jej wypożyczenie lub</w:t>
      </w:r>
    </w:p>
    <w:p w:rsidR="0055092F" w:rsidRDefault="0055092F">
      <w:pPr>
        <w:pStyle w:val="Akapitzlist"/>
        <w:numPr>
          <w:ilvl w:val="0"/>
          <w:numId w:val="41"/>
        </w:numPr>
        <w:spacing w:before="0"/>
        <w:ind w:left="851" w:hanging="425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 postaci kopii.</w:t>
      </w:r>
    </w:p>
    <w:p w:rsidR="0055092F" w:rsidRDefault="0055092F">
      <w:pPr>
        <w:pStyle w:val="NormalnyWeb"/>
        <w:numPr>
          <w:ilvl w:val="3"/>
          <w:numId w:val="2"/>
        </w:numPr>
        <w:tabs>
          <w:tab w:val="left" w:pos="426"/>
        </w:tabs>
        <w:spacing w:before="0" w:after="12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Wypożyczając dokumentację można wykonać jej kopię zastępczą i zachować ją w składnicy akt do czasu zwrotu dokumentacji.</w:t>
      </w:r>
    </w:p>
    <w:p w:rsidR="0055092F" w:rsidRDefault="0055092F">
      <w:pPr>
        <w:pStyle w:val="NormalnyWeb"/>
        <w:numPr>
          <w:ilvl w:val="3"/>
          <w:numId w:val="2"/>
        </w:numPr>
        <w:tabs>
          <w:tab w:val="left" w:pos="426"/>
        </w:tabs>
        <w:spacing w:before="0" w:after="0"/>
        <w:jc w:val="both"/>
        <w:rPr>
          <w:rFonts w:ascii="Palatino Linotype" w:hAnsi="Palatino Linotype" w:cs="Palatino Linotype"/>
          <w:b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Oryginały dokumentacji mogą być wypożyczone jedynie za pisemną zgodą kierownika komórki organizacyjnej.</w:t>
      </w:r>
    </w:p>
    <w:p w:rsidR="0055092F" w:rsidRDefault="0055092F">
      <w:pPr>
        <w:pStyle w:val="NormalnyWeb"/>
        <w:spacing w:before="0" w:after="12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26.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Nie wolno wypożyczać poza składnicę akt dokumentacji  uszkodzonej, dokumentacji zastrzeżonej przez przekazującą je komórkę organizacyjna  oraz środków ewidencyjnych składnicy akt.</w:t>
      </w:r>
    </w:p>
    <w:p w:rsidR="0055092F" w:rsidRDefault="0055092F">
      <w:pPr>
        <w:pStyle w:val="NormalnyWeb"/>
        <w:spacing w:before="0" w:after="0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12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lastRenderedPageBreak/>
        <w:t>§ 27.</w:t>
      </w:r>
    </w:p>
    <w:p w:rsidR="0055092F" w:rsidRDefault="0055092F">
      <w:pPr>
        <w:pStyle w:val="Akapitzlist"/>
        <w:numPr>
          <w:ilvl w:val="0"/>
          <w:numId w:val="23"/>
        </w:numPr>
        <w:ind w:left="426" w:hanging="426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Udostępnianie dokumentacji przechowywanej w składnicy akt odbywa się na podstawie wniosku zawierającego:</w:t>
      </w:r>
    </w:p>
    <w:p w:rsidR="0055092F" w:rsidRDefault="0055092F">
      <w:pPr>
        <w:pStyle w:val="Akapitzlist"/>
        <w:numPr>
          <w:ilvl w:val="0"/>
          <w:numId w:val="7"/>
        </w:numPr>
        <w:spacing w:before="0" w:after="0"/>
        <w:ind w:left="851" w:hanging="425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datę;</w:t>
      </w:r>
    </w:p>
    <w:p w:rsidR="0055092F" w:rsidRDefault="0055092F">
      <w:pPr>
        <w:pStyle w:val="Akapitzlist"/>
        <w:numPr>
          <w:ilvl w:val="0"/>
          <w:numId w:val="7"/>
        </w:numPr>
        <w:spacing w:before="0" w:after="0"/>
        <w:ind w:left="851" w:hanging="425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nazwę wnioskującego;</w:t>
      </w:r>
    </w:p>
    <w:p w:rsidR="0055092F" w:rsidRDefault="0055092F">
      <w:pPr>
        <w:pStyle w:val="Akapitzlist"/>
        <w:numPr>
          <w:ilvl w:val="0"/>
          <w:numId w:val="7"/>
        </w:numPr>
        <w:spacing w:before="0" w:after="0"/>
        <w:ind w:left="851" w:hanging="425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wskazanie dokumentacji, będącej przedmiotem wnioskowania o udostępnienie, poprzez zamieszczenie we wniosku co najmniej:</w:t>
      </w:r>
    </w:p>
    <w:p w:rsidR="0055092F" w:rsidRDefault="0055092F">
      <w:pPr>
        <w:pStyle w:val="Akapitzlist"/>
        <w:numPr>
          <w:ilvl w:val="0"/>
          <w:numId w:val="21"/>
        </w:numPr>
        <w:spacing w:before="0" w:after="0"/>
        <w:ind w:left="1134" w:hanging="283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informacji o nazwie komórki organizacyjnej, która dokumentację wytworzyła i zgromadziła lub przekazała,</w:t>
      </w:r>
    </w:p>
    <w:p w:rsidR="0055092F" w:rsidRDefault="0055092F">
      <w:pPr>
        <w:pStyle w:val="Akapitzlist"/>
        <w:numPr>
          <w:ilvl w:val="0"/>
          <w:numId w:val="21"/>
        </w:numPr>
        <w:spacing w:before="0" w:after="0"/>
        <w:ind w:left="1134" w:hanging="283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hasła klasyfikacyjnego z wykazu akt,</w:t>
      </w:r>
    </w:p>
    <w:p w:rsidR="0055092F" w:rsidRDefault="0055092F">
      <w:pPr>
        <w:pStyle w:val="Akapitzlist"/>
        <w:numPr>
          <w:ilvl w:val="0"/>
          <w:numId w:val="21"/>
        </w:numPr>
        <w:spacing w:before="0" w:after="0"/>
        <w:ind w:left="1134" w:hanging="283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dat skrajnych dokumentacji;</w:t>
      </w:r>
    </w:p>
    <w:p w:rsidR="0055092F" w:rsidRDefault="0055092F">
      <w:pPr>
        <w:pStyle w:val="Akapitzlist"/>
        <w:numPr>
          <w:ilvl w:val="0"/>
          <w:numId w:val="7"/>
        </w:numPr>
        <w:spacing w:before="0" w:after="0"/>
        <w:ind w:left="851" w:hanging="425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informację o sposobie udostępnienia;</w:t>
      </w:r>
    </w:p>
    <w:p w:rsidR="0055092F" w:rsidRDefault="0055092F">
      <w:pPr>
        <w:pStyle w:val="Akapitzlist"/>
        <w:numPr>
          <w:ilvl w:val="0"/>
          <w:numId w:val="7"/>
        </w:numPr>
        <w:spacing w:before="0" w:after="0"/>
        <w:ind w:left="851" w:hanging="425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imię, nazwisko i podpis osoby, która wnosi o udostępnienie;</w:t>
      </w:r>
    </w:p>
    <w:p w:rsidR="0055092F" w:rsidRDefault="0055092F">
      <w:pPr>
        <w:pStyle w:val="Akapitzlist"/>
        <w:numPr>
          <w:ilvl w:val="0"/>
          <w:numId w:val="7"/>
        </w:numPr>
        <w:spacing w:before="0" w:after="0"/>
        <w:ind w:left="851" w:hanging="425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 przypadku osób spoza</w:t>
      </w:r>
      <w:r w:rsidR="008122B1">
        <w:rPr>
          <w:rFonts w:ascii="Palatino Linotype" w:hAnsi="Palatino Linotype" w:cs="Palatino Linotype"/>
          <w:sz w:val="22"/>
          <w:szCs w:val="22"/>
        </w:rPr>
        <w:t xml:space="preserve"> MP37</w:t>
      </w:r>
      <w:r>
        <w:rPr>
          <w:rFonts w:ascii="Palatino Linotype" w:hAnsi="Palatino Linotype" w:cs="Palatino Linotype"/>
          <w:sz w:val="22"/>
          <w:szCs w:val="22"/>
        </w:rPr>
        <w:t>:</w:t>
      </w:r>
    </w:p>
    <w:p w:rsidR="0055092F" w:rsidRDefault="0055092F">
      <w:pPr>
        <w:pStyle w:val="Akapitzlist"/>
        <w:numPr>
          <w:ilvl w:val="0"/>
          <w:numId w:val="26"/>
        </w:numPr>
        <w:spacing w:before="0" w:after="0"/>
        <w:ind w:left="1134" w:hanging="283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cel udostępnienia,</w:t>
      </w:r>
    </w:p>
    <w:p w:rsidR="0055092F" w:rsidRDefault="0055092F">
      <w:pPr>
        <w:pStyle w:val="Akapitzlist"/>
        <w:numPr>
          <w:ilvl w:val="0"/>
          <w:numId w:val="26"/>
        </w:numPr>
        <w:spacing w:before="0" w:after="0"/>
        <w:ind w:left="1134" w:hanging="283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uzasadnienie.</w:t>
      </w:r>
    </w:p>
    <w:p w:rsidR="0055092F" w:rsidRDefault="0055092F">
      <w:pPr>
        <w:numPr>
          <w:ilvl w:val="0"/>
          <w:numId w:val="23"/>
        </w:numPr>
        <w:tabs>
          <w:tab w:val="left" w:pos="426"/>
        </w:tabs>
        <w:spacing w:after="12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Do udostępnienia dokumentacji pracownikom</w:t>
      </w:r>
      <w:r w:rsidR="008122B1">
        <w:rPr>
          <w:rFonts w:ascii="Palatino Linotype" w:hAnsi="Palatino Linotype" w:cs="Palatino Linotype"/>
          <w:sz w:val="22"/>
          <w:szCs w:val="22"/>
        </w:rPr>
        <w:t xml:space="preserve"> MP37</w:t>
      </w:r>
      <w:r>
        <w:rPr>
          <w:rFonts w:ascii="Palatino Linotype" w:hAnsi="Palatino Linotype" w:cs="Palatino Linotype"/>
          <w:sz w:val="22"/>
          <w:szCs w:val="22"/>
        </w:rPr>
        <w:t xml:space="preserve"> jest wymagana zgoda kierownika komórki organizacyjnej, która dokumentację wytworzyła i zgromadziła lub przekazała do składnicy akt. W przypadku gdy nie ma takiej możliwości, zgodę wydaje</w:t>
      </w:r>
      <w:r w:rsidR="00B83EC0">
        <w:rPr>
          <w:rFonts w:ascii="Palatino Linotype" w:hAnsi="Palatino Linotype" w:cs="Palatino Linotype"/>
          <w:sz w:val="22"/>
          <w:szCs w:val="22"/>
        </w:rPr>
        <w:t xml:space="preserve"> Dyrektor MP 37</w:t>
      </w:r>
      <w:r>
        <w:rPr>
          <w:rFonts w:ascii="Palatino Linotype" w:hAnsi="Palatino Linotype" w:cs="Palatino Linotype"/>
          <w:i/>
          <w:sz w:val="22"/>
          <w:szCs w:val="22"/>
        </w:rPr>
        <w:t>.</w:t>
      </w:r>
    </w:p>
    <w:p w:rsidR="0055092F" w:rsidRDefault="0055092F">
      <w:pPr>
        <w:numPr>
          <w:ilvl w:val="0"/>
          <w:numId w:val="23"/>
        </w:numPr>
        <w:tabs>
          <w:tab w:val="left" w:pos="426"/>
        </w:tabs>
        <w:spacing w:after="120"/>
        <w:ind w:left="426" w:hanging="426"/>
        <w:jc w:val="both"/>
        <w:rPr>
          <w:rFonts w:ascii="Palatino Linotype" w:hAnsi="Palatino Linotype" w:cs="Palatino Linotype"/>
          <w:b/>
          <w:sz w:val="22"/>
        </w:rPr>
      </w:pPr>
      <w:r>
        <w:rPr>
          <w:rFonts w:ascii="Palatino Linotype" w:hAnsi="Palatino Linotype" w:cs="Palatino Linotype"/>
          <w:sz w:val="22"/>
          <w:szCs w:val="22"/>
        </w:rPr>
        <w:t>Do udostępnienia dokumentacji osobom spoza</w:t>
      </w:r>
      <w:r w:rsidR="00B83EC0">
        <w:rPr>
          <w:rFonts w:ascii="Palatino Linotype" w:hAnsi="Palatino Linotype" w:cs="Palatino Linotype"/>
          <w:sz w:val="22"/>
          <w:szCs w:val="22"/>
        </w:rPr>
        <w:t xml:space="preserve"> MP37</w:t>
      </w:r>
      <w:r>
        <w:rPr>
          <w:rFonts w:ascii="Palatino Linotype" w:hAnsi="Palatino Linotype" w:cs="Palatino Linotype"/>
          <w:sz w:val="22"/>
          <w:szCs w:val="22"/>
        </w:rPr>
        <w:t xml:space="preserve"> jest wymagane zezwolenie</w:t>
      </w:r>
      <w:r w:rsidR="00B83EC0">
        <w:rPr>
          <w:rFonts w:ascii="Palatino Linotype" w:hAnsi="Palatino Linotype" w:cs="Palatino Linotype"/>
          <w:sz w:val="22"/>
          <w:szCs w:val="22"/>
        </w:rPr>
        <w:t xml:space="preserve"> Dyrektora MP 37</w:t>
      </w:r>
      <w:r>
        <w:rPr>
          <w:rFonts w:ascii="Palatino Linotype" w:hAnsi="Palatino Linotype" w:cs="Palatino Linotype"/>
          <w:b/>
          <w:bCs/>
          <w:i/>
          <w:color w:val="FF0000"/>
          <w:sz w:val="22"/>
          <w:szCs w:val="22"/>
        </w:rPr>
        <w:t>.</w:t>
      </w:r>
    </w:p>
    <w:p w:rsidR="0055092F" w:rsidRDefault="0055092F">
      <w:pPr>
        <w:rPr>
          <w:rFonts w:ascii="Palatino Linotype" w:hAnsi="Palatino Linotype" w:cs="Palatino Linotype"/>
          <w:b/>
          <w:sz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28.</w:t>
      </w:r>
    </w:p>
    <w:p w:rsidR="0055092F" w:rsidRDefault="0055092F">
      <w:pPr>
        <w:pStyle w:val="NormalnyWeb"/>
        <w:numPr>
          <w:ilvl w:val="0"/>
          <w:numId w:val="8"/>
        </w:numPr>
        <w:tabs>
          <w:tab w:val="left" w:pos="426"/>
        </w:tabs>
        <w:spacing w:before="0" w:after="12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Ko</w:t>
      </w:r>
      <w:r>
        <w:rPr>
          <w:rFonts w:ascii="Palatino Linotype" w:hAnsi="Palatino Linotype" w:cs="Palatino Linotype"/>
          <w:b/>
          <w:sz w:val="22"/>
          <w:szCs w:val="22"/>
        </w:rPr>
        <w:t>r</w:t>
      </w:r>
      <w:r>
        <w:rPr>
          <w:rFonts w:ascii="Palatino Linotype" w:hAnsi="Palatino Linotype" w:cs="Palatino Linotype"/>
          <w:sz w:val="22"/>
          <w:szCs w:val="22"/>
        </w:rPr>
        <w:t>zystający z dokumentacji ponosi pełną odpowiedzialność za stan udostępnianej dokumentacji.</w:t>
      </w:r>
    </w:p>
    <w:p w:rsidR="0055092F" w:rsidRDefault="0055092F">
      <w:pPr>
        <w:pStyle w:val="NormalnyWeb"/>
        <w:numPr>
          <w:ilvl w:val="0"/>
          <w:numId w:val="8"/>
        </w:numPr>
        <w:tabs>
          <w:tab w:val="left" w:pos="426"/>
        </w:tabs>
        <w:spacing w:before="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Niedopuszczalne jest:</w:t>
      </w:r>
    </w:p>
    <w:p w:rsidR="0055092F" w:rsidRDefault="0055092F">
      <w:pPr>
        <w:numPr>
          <w:ilvl w:val="3"/>
          <w:numId w:val="38"/>
        </w:numPr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wyłączanie z udostępnianej dokumentacji pojedynczych przesyłek i pism;</w:t>
      </w:r>
    </w:p>
    <w:p w:rsidR="0055092F" w:rsidRDefault="0055092F">
      <w:pPr>
        <w:numPr>
          <w:ilvl w:val="3"/>
          <w:numId w:val="38"/>
        </w:numPr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przekazywanie dokumentacji innym osobom, komórkom organizacyjnym bez wiedzy archiwisty;</w:t>
      </w:r>
    </w:p>
    <w:p w:rsidR="0055092F" w:rsidRDefault="0055092F">
      <w:pPr>
        <w:numPr>
          <w:ilvl w:val="3"/>
          <w:numId w:val="38"/>
        </w:numPr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nanoszenie na dokumentacji adnotacji i uwag.</w:t>
      </w:r>
    </w:p>
    <w:p w:rsidR="0055092F" w:rsidRDefault="0055092F">
      <w:pPr>
        <w:pStyle w:val="NormalnyWeb"/>
        <w:spacing w:before="0" w:after="0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29.</w:t>
      </w:r>
    </w:p>
    <w:p w:rsidR="0055092F" w:rsidRDefault="0055092F">
      <w:pPr>
        <w:pStyle w:val="NormalnyWeb"/>
        <w:numPr>
          <w:ilvl w:val="0"/>
          <w:numId w:val="35"/>
        </w:numPr>
        <w:tabs>
          <w:tab w:val="left" w:pos="426"/>
        </w:tabs>
        <w:spacing w:before="0" w:after="12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Archiwista sprawdza stan udostępnianej dokumentacji przed jej udostępnieniem oraz po jej zwrocie.</w:t>
      </w:r>
    </w:p>
    <w:p w:rsidR="0055092F" w:rsidRDefault="0055092F">
      <w:pPr>
        <w:pStyle w:val="NormalnyWeb"/>
        <w:numPr>
          <w:ilvl w:val="0"/>
          <w:numId w:val="35"/>
        </w:numPr>
        <w:tabs>
          <w:tab w:val="left" w:pos="426"/>
        </w:tabs>
        <w:spacing w:before="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 przypadku stwierdzenia braków lub uszkodzeń zwracanej dokumentacji lub stwierdzenia zagubienia udostępnionej dokumentacji archiwista sporządza protokół, w którym zamieszcza co najmniej następujące informacje:</w:t>
      </w:r>
    </w:p>
    <w:p w:rsidR="0055092F" w:rsidRDefault="0055092F">
      <w:pPr>
        <w:pStyle w:val="NormalnyWeb"/>
        <w:numPr>
          <w:ilvl w:val="0"/>
          <w:numId w:val="33"/>
        </w:numPr>
        <w:tabs>
          <w:tab w:val="left" w:pos="426"/>
        </w:tabs>
        <w:spacing w:before="0" w:after="0"/>
        <w:ind w:left="709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datę sporządzenia,</w:t>
      </w:r>
    </w:p>
    <w:p w:rsidR="0055092F" w:rsidRDefault="0055092F">
      <w:pPr>
        <w:pStyle w:val="NormalnyWeb"/>
        <w:numPr>
          <w:ilvl w:val="0"/>
          <w:numId w:val="33"/>
        </w:numPr>
        <w:tabs>
          <w:tab w:val="left" w:pos="426"/>
        </w:tabs>
        <w:spacing w:before="0" w:after="0"/>
        <w:ind w:left="709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imię i nazwisko osoby, która uszkodziła lub zagubiła akta,</w:t>
      </w:r>
    </w:p>
    <w:p w:rsidR="0055092F" w:rsidRDefault="0055092F">
      <w:pPr>
        <w:pStyle w:val="NormalnyWeb"/>
        <w:numPr>
          <w:ilvl w:val="0"/>
          <w:numId w:val="33"/>
        </w:numPr>
        <w:tabs>
          <w:tab w:val="left" w:pos="426"/>
        </w:tabs>
        <w:spacing w:before="0" w:after="0"/>
        <w:ind w:left="709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opis przedmiotu uszkodzenia lub zagubienia</w:t>
      </w:r>
      <w:r>
        <w:rPr>
          <w:rFonts w:ascii="Palatino Linotype" w:hAnsi="Palatino Linotype" w:cs="Palatino Linotype"/>
          <w:sz w:val="22"/>
        </w:rPr>
        <w:t>.</w:t>
      </w:r>
    </w:p>
    <w:p w:rsidR="0055092F" w:rsidRDefault="0055092F">
      <w:pPr>
        <w:pStyle w:val="NormalnyWeb"/>
        <w:tabs>
          <w:tab w:val="left" w:pos="426"/>
        </w:tabs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numPr>
          <w:ilvl w:val="0"/>
          <w:numId w:val="35"/>
        </w:numPr>
        <w:tabs>
          <w:tab w:val="left" w:pos="426"/>
        </w:tabs>
        <w:spacing w:before="0" w:after="0"/>
        <w:ind w:left="426" w:hanging="426"/>
        <w:jc w:val="both"/>
        <w:rPr>
          <w:rFonts w:ascii="Palatino Linotype" w:eastAsia="UniversPro-Roman" w:hAnsi="Palatino Linotype" w:cs="UniversPro-Roman"/>
          <w:sz w:val="22"/>
          <w:szCs w:val="22"/>
        </w:rPr>
      </w:pPr>
      <w:bookmarkStart w:id="0" w:name="_Hlk531609867"/>
      <w:r>
        <w:rPr>
          <w:rFonts w:ascii="Palatino Linotype" w:hAnsi="Palatino Linotype" w:cs="Palatino Linotype"/>
          <w:sz w:val="22"/>
          <w:szCs w:val="22"/>
        </w:rPr>
        <w:t xml:space="preserve">Protokół, o którym mowa w ust. 2, sporządzany jest  w trzech egzemplarzach, z których jeden umieszcza się w miejscu brakującej lub uszkodzonej  dokumentacji, drugi </w:t>
      </w:r>
      <w:r>
        <w:rPr>
          <w:rFonts w:ascii="Palatino Linotype" w:hAnsi="Palatino Linotype" w:cs="Palatino Linotype"/>
          <w:sz w:val="22"/>
          <w:szCs w:val="22"/>
        </w:rPr>
        <w:lastRenderedPageBreak/>
        <w:t>przechowuje się w składnicy akt, w przeznaczonej na ten cel teczce aktowej, trzeci przekazuje się kierownikowi podmiotu.</w:t>
      </w:r>
    </w:p>
    <w:p w:rsidR="0055092F" w:rsidRDefault="0055092F">
      <w:pPr>
        <w:pStyle w:val="NormalnyWeb"/>
        <w:numPr>
          <w:ilvl w:val="0"/>
          <w:numId w:val="35"/>
        </w:numPr>
        <w:tabs>
          <w:tab w:val="left" w:pos="426"/>
        </w:tabs>
        <w:spacing w:before="24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eastAsia="UniversPro-Roman" w:hAnsi="Palatino Linotype" w:cs="UniversPro-Roman"/>
          <w:sz w:val="22"/>
          <w:szCs w:val="22"/>
        </w:rPr>
        <w:t>Na podstawie protokołu kierownik podmiotu zarządza postępowanie wyjaśniające</w:t>
      </w:r>
      <w:r>
        <w:rPr>
          <w:rFonts w:ascii="Palatino Linotype" w:hAnsi="Palatino Linotype" w:cs="Palatino Linotype"/>
          <w:sz w:val="22"/>
          <w:szCs w:val="22"/>
        </w:rPr>
        <w:t xml:space="preserve"> celem wyjaśnienia okoliczności sprawy</w:t>
      </w:r>
      <w:bookmarkEnd w:id="0"/>
      <w:r>
        <w:rPr>
          <w:rFonts w:ascii="Palatino Linotype" w:hAnsi="Palatino Linotype" w:cs="Palatino Linotype"/>
          <w:sz w:val="22"/>
          <w:szCs w:val="22"/>
        </w:rPr>
        <w:t xml:space="preserve">. 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30.</w:t>
      </w:r>
    </w:p>
    <w:p w:rsidR="0055092F" w:rsidRDefault="0055092F">
      <w:pPr>
        <w:pStyle w:val="NormalnyWeb"/>
        <w:tabs>
          <w:tab w:val="left" w:pos="0"/>
        </w:tabs>
        <w:spacing w:before="0" w:after="0"/>
        <w:jc w:val="both"/>
        <w:rPr>
          <w:rFonts w:ascii="Palatino Linotype" w:hAnsi="Palatino Linotype" w:cs="Palatino Linotype"/>
          <w:b/>
          <w:caps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Archiwista w przyjęty w</w:t>
      </w:r>
      <w:r w:rsidR="00B83EC0">
        <w:rPr>
          <w:rFonts w:ascii="Palatino Linotype" w:hAnsi="Palatino Linotype" w:cs="Palatino Linotype"/>
          <w:sz w:val="22"/>
          <w:szCs w:val="22"/>
        </w:rPr>
        <w:t xml:space="preserve"> MP37</w:t>
      </w:r>
      <w:r>
        <w:rPr>
          <w:rFonts w:ascii="Palatino Linotype" w:hAnsi="Palatino Linotype" w:cs="Palatino Linotype"/>
          <w:color w:val="000000"/>
          <w:sz w:val="22"/>
          <w:szCs w:val="22"/>
        </w:rPr>
        <w:t xml:space="preserve"> </w:t>
      </w:r>
      <w:r>
        <w:rPr>
          <w:rFonts w:ascii="Palatino Linotype" w:hAnsi="Palatino Linotype" w:cs="Palatino Linotype"/>
          <w:sz w:val="22"/>
          <w:szCs w:val="22"/>
        </w:rPr>
        <w:t>sposób odnotowuje każde udostępnieni dokumentacji z podaniem daty udostępnienia, a w przypadku jej wypożyczenia poza składnicę akt – także daty zwrotu do składnicy akt.</w:t>
      </w:r>
    </w:p>
    <w:p w:rsidR="0055092F" w:rsidRDefault="0055092F">
      <w:pPr>
        <w:jc w:val="center"/>
        <w:rPr>
          <w:rFonts w:ascii="Palatino Linotype" w:hAnsi="Palatino Linotype" w:cs="Palatino Linotype"/>
          <w:b/>
          <w:caps/>
          <w:sz w:val="22"/>
          <w:szCs w:val="22"/>
        </w:rPr>
      </w:pPr>
    </w:p>
    <w:p w:rsidR="0055092F" w:rsidRDefault="0055092F">
      <w:pPr>
        <w:pStyle w:val="Nagwek1"/>
        <w:rPr>
          <w:rFonts w:ascii="Palatino Linotype" w:hAnsi="Palatino Linotype" w:cs="Palatino Linotype"/>
          <w:sz w:val="22"/>
          <w:szCs w:val="24"/>
        </w:rPr>
      </w:pPr>
      <w:r>
        <w:rPr>
          <w:rFonts w:ascii="Palatino Linotype" w:hAnsi="Palatino Linotype" w:cs="Arial"/>
          <w:bCs/>
          <w:sz w:val="22"/>
          <w:szCs w:val="24"/>
        </w:rPr>
        <w:t>ROZDZIAŁ 9</w:t>
      </w:r>
    </w:p>
    <w:p w:rsidR="0055092F" w:rsidRDefault="0055092F">
      <w:pPr>
        <w:pStyle w:val="Nagwek2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i w:val="0"/>
          <w:sz w:val="22"/>
          <w:szCs w:val="24"/>
        </w:rPr>
        <w:t xml:space="preserve">Wycofywanie dokumentacji ze stanu </w:t>
      </w:r>
      <w:r>
        <w:rPr>
          <w:rFonts w:ascii="Palatino Linotype" w:hAnsi="Palatino Linotype" w:cs="Palatino Linotype"/>
          <w:i w:val="0"/>
          <w:iCs w:val="0"/>
          <w:sz w:val="22"/>
          <w:szCs w:val="22"/>
        </w:rPr>
        <w:t>składnicy akt</w:t>
      </w:r>
    </w:p>
    <w:p w:rsidR="0055092F" w:rsidRDefault="0055092F">
      <w:pPr>
        <w:jc w:val="center"/>
        <w:rPr>
          <w:rFonts w:ascii="Palatino Linotype" w:hAnsi="Palatino Linotype" w:cs="Palatino Linotype"/>
          <w:b/>
          <w:sz w:val="22"/>
          <w:szCs w:val="22"/>
        </w:rPr>
      </w:pPr>
    </w:p>
    <w:p w:rsidR="0055092F" w:rsidRDefault="0055092F">
      <w:pPr>
        <w:pStyle w:val="Poziom1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31.</w:t>
      </w:r>
    </w:p>
    <w:p w:rsidR="0055092F" w:rsidRDefault="0055092F">
      <w:pPr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 przypadku wznowienia sprawy w komórce organizacyjnej, której dokumentacja została już przekazana do składnicy akt, archiwista na wniosek kierownika komórki organizacyjnej wycofuje ją ze składnicy akt i przekazuje do tej komórki.</w:t>
      </w:r>
    </w:p>
    <w:p w:rsidR="0055092F" w:rsidRDefault="0055092F">
      <w:pPr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Poziom1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32.</w:t>
      </w:r>
    </w:p>
    <w:p w:rsidR="0055092F" w:rsidRDefault="0055092F">
      <w:pPr>
        <w:numPr>
          <w:ilvl w:val="0"/>
          <w:numId w:val="28"/>
        </w:numPr>
        <w:tabs>
          <w:tab w:val="left" w:pos="284"/>
        </w:tabs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Wycofanie dokumentacji ze składnicy akt polega na:</w:t>
      </w:r>
    </w:p>
    <w:p w:rsidR="0055092F" w:rsidRDefault="0055092F">
      <w:pPr>
        <w:numPr>
          <w:ilvl w:val="3"/>
          <w:numId w:val="29"/>
        </w:numPr>
        <w:ind w:left="567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przyporządkowaniu informacji o dacie i numerze protokołu wycofania do pozycji spisu zdawczo-odbiorczego, w którym ujęta jest wycofywana dokumentacja;</w:t>
      </w:r>
    </w:p>
    <w:p w:rsidR="0055092F" w:rsidRDefault="0055092F">
      <w:pPr>
        <w:numPr>
          <w:ilvl w:val="3"/>
          <w:numId w:val="29"/>
        </w:numPr>
        <w:ind w:left="567" w:hanging="283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sporządzeniu protokołu z wycofania dokumentacji z ewidencji składnicy akt zawierającego:</w:t>
      </w:r>
    </w:p>
    <w:p w:rsidR="0055092F" w:rsidRDefault="0055092F">
      <w:pPr>
        <w:numPr>
          <w:ilvl w:val="0"/>
          <w:numId w:val="48"/>
        </w:numPr>
        <w:ind w:left="851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datę wycofania,</w:t>
      </w:r>
    </w:p>
    <w:p w:rsidR="0055092F" w:rsidRDefault="0055092F">
      <w:pPr>
        <w:numPr>
          <w:ilvl w:val="0"/>
          <w:numId w:val="48"/>
        </w:numPr>
        <w:ind w:left="851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numer protokołu,</w:t>
      </w:r>
    </w:p>
    <w:p w:rsidR="0055092F" w:rsidRDefault="0055092F">
      <w:pPr>
        <w:numPr>
          <w:ilvl w:val="0"/>
          <w:numId w:val="48"/>
        </w:numPr>
        <w:ind w:left="851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nazwę komórki organizacyjnej, do której dokumentację wycofano,</w:t>
      </w:r>
    </w:p>
    <w:p w:rsidR="0055092F" w:rsidRDefault="0055092F">
      <w:pPr>
        <w:numPr>
          <w:ilvl w:val="0"/>
          <w:numId w:val="48"/>
        </w:numPr>
        <w:ind w:left="851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tytuł teczki aktowej oraz tytuł sprawy,</w:t>
      </w:r>
    </w:p>
    <w:p w:rsidR="0055092F" w:rsidRDefault="0055092F">
      <w:pPr>
        <w:numPr>
          <w:ilvl w:val="0"/>
          <w:numId w:val="48"/>
        </w:numPr>
        <w:spacing w:after="120"/>
        <w:ind w:left="851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sygnaturę archiwalną teczki aktowej.</w:t>
      </w:r>
    </w:p>
    <w:p w:rsidR="0055092F" w:rsidRDefault="0055092F">
      <w:pPr>
        <w:numPr>
          <w:ilvl w:val="2"/>
          <w:numId w:val="15"/>
        </w:numPr>
        <w:tabs>
          <w:tab w:val="left" w:pos="426"/>
        </w:tabs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 trakcie przekazywania wycofywanej dokumentacji ze składnicy akt do komórki organizacyjnej protokół podpisują archiwista i kierownik komórki organizacyjnej.</w:t>
      </w:r>
    </w:p>
    <w:p w:rsidR="0055092F" w:rsidRDefault="0055092F">
      <w:pPr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agwek1"/>
        <w:rPr>
          <w:rFonts w:ascii="Palatino Linotype" w:hAnsi="Palatino Linotype" w:cs="Palatino Linotype"/>
          <w:sz w:val="22"/>
          <w:szCs w:val="24"/>
        </w:rPr>
      </w:pPr>
      <w:r>
        <w:rPr>
          <w:rFonts w:ascii="Palatino Linotype" w:hAnsi="Palatino Linotype" w:cs="Arial"/>
          <w:bCs/>
          <w:sz w:val="22"/>
          <w:szCs w:val="24"/>
        </w:rPr>
        <w:t>ROZDZIAŁ 10</w:t>
      </w:r>
    </w:p>
    <w:p w:rsidR="0055092F" w:rsidRDefault="0055092F">
      <w:pPr>
        <w:pStyle w:val="Nagwek2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i w:val="0"/>
          <w:sz w:val="22"/>
          <w:szCs w:val="24"/>
        </w:rPr>
        <w:t>Brakowanie dokumentacji niearchiwalnej</w:t>
      </w: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b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33.</w:t>
      </w:r>
    </w:p>
    <w:p w:rsidR="0055092F" w:rsidRDefault="0055092F">
      <w:pPr>
        <w:pStyle w:val="NormalnyWeb"/>
        <w:numPr>
          <w:ilvl w:val="0"/>
          <w:numId w:val="20"/>
        </w:numPr>
        <w:tabs>
          <w:tab w:val="left" w:pos="426"/>
        </w:tabs>
        <w:spacing w:before="0" w:after="12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Brakowanie dokumentacji niearchiwalnej inicjuje archiwista poprzez regularne typowanie dokumentacji przeznaczonej do brakowania.</w:t>
      </w:r>
    </w:p>
    <w:p w:rsidR="0055092F" w:rsidRDefault="0055092F">
      <w:pPr>
        <w:pStyle w:val="NormalnyWeb"/>
        <w:numPr>
          <w:ilvl w:val="0"/>
          <w:numId w:val="20"/>
        </w:numPr>
        <w:tabs>
          <w:tab w:val="left" w:pos="426"/>
        </w:tabs>
        <w:spacing w:before="0" w:after="12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 wyniku typowania, o którym mowa w ust. 1, archiwista sporządza spis tej dokumentacji, zgodnie ze wzorem wynikającym z przepisów wydanych na podstawie art. 5 ust. 2 i 2b ustawy  z dnia 14 lipca 1983 r. o narodowym zasobie archiwalnym i archiwach.</w:t>
      </w:r>
    </w:p>
    <w:p w:rsidR="0055092F" w:rsidRDefault="0055092F">
      <w:pPr>
        <w:pStyle w:val="NormalnyWeb"/>
        <w:tabs>
          <w:tab w:val="left" w:pos="426"/>
        </w:tabs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numPr>
          <w:ilvl w:val="0"/>
          <w:numId w:val="20"/>
        </w:numPr>
        <w:tabs>
          <w:tab w:val="left" w:pos="426"/>
        </w:tabs>
        <w:spacing w:before="0" w:after="12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lastRenderedPageBreak/>
        <w:t>Spis podlega  zaopiniowaniu przez kierowników komórek organizacyjnych, których dokumentacja została wytypowana do brakowania. W przypadku gdy nie ma takiej możliwości, zgodę wydaje</w:t>
      </w:r>
      <w:r w:rsidR="00B83EC0">
        <w:rPr>
          <w:rFonts w:ascii="Palatino Linotype" w:hAnsi="Palatino Linotype" w:cs="Palatino Linotype"/>
          <w:sz w:val="22"/>
          <w:szCs w:val="22"/>
        </w:rPr>
        <w:t xml:space="preserve"> Dyrektor MP 37</w:t>
      </w:r>
      <w:r>
        <w:rPr>
          <w:rFonts w:ascii="Palatino Linotype" w:hAnsi="Palatino Linotype" w:cs="Palatino Linotype"/>
          <w:i/>
          <w:sz w:val="22"/>
          <w:szCs w:val="22"/>
        </w:rPr>
        <w:t>.</w:t>
      </w:r>
    </w:p>
    <w:p w:rsidR="0055092F" w:rsidRDefault="0055092F">
      <w:pPr>
        <w:pStyle w:val="NormalnyWeb"/>
        <w:numPr>
          <w:ilvl w:val="0"/>
          <w:numId w:val="20"/>
        </w:numPr>
        <w:tabs>
          <w:tab w:val="left" w:pos="426"/>
        </w:tabs>
        <w:spacing w:before="0" w:after="0"/>
        <w:ind w:left="426" w:hanging="426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 wyniku czynności, o której mowa w ust. 3, kierownicy komórek organizacyjnych mogą wydłużyć czas przechowywania dokumentacji niearchiwalnej, przy czym podlega to zatwierdzeniu przez</w:t>
      </w:r>
      <w:r w:rsidR="00B83EC0">
        <w:rPr>
          <w:rFonts w:ascii="Palatino Linotype" w:hAnsi="Palatino Linotype" w:cs="Palatino Linotype"/>
          <w:sz w:val="22"/>
          <w:szCs w:val="22"/>
        </w:rPr>
        <w:t xml:space="preserve"> Dyrektora MP 37</w:t>
      </w:r>
      <w:r>
        <w:rPr>
          <w:rFonts w:ascii="Palatino Linotype" w:hAnsi="Palatino Linotype" w:cs="Palatino Linotype"/>
          <w:i/>
          <w:sz w:val="22"/>
          <w:szCs w:val="22"/>
        </w:rPr>
        <w:t>.</w:t>
      </w:r>
    </w:p>
    <w:p w:rsidR="0055092F" w:rsidRDefault="0055092F">
      <w:pPr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34.</w:t>
      </w:r>
    </w:p>
    <w:p w:rsidR="0055092F" w:rsidRDefault="0055092F">
      <w:pPr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Do procedury brakowania dokumentacji niearchiwalnej stosuje się odpowiednio przepisy wydane na podstawie art. 5 ust. 2 i ust. 2b ustawy  z dnia 14 lipca 1983 r. o narodowym zasobie archiwalnym i archiwach.</w:t>
      </w:r>
    </w:p>
    <w:p w:rsidR="0055092F" w:rsidRDefault="0055092F">
      <w:pPr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35.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Przed przekazaniem dokumentacji do wybrakowania należy wyłączyć z niej:</w:t>
      </w:r>
    </w:p>
    <w:p w:rsidR="0055092F" w:rsidRDefault="0055092F">
      <w:pPr>
        <w:pStyle w:val="NormalnyWeb"/>
        <w:numPr>
          <w:ilvl w:val="0"/>
          <w:numId w:val="39"/>
        </w:numPr>
        <w:tabs>
          <w:tab w:val="left" w:pos="284"/>
        </w:tabs>
        <w:spacing w:before="0" w:after="0"/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wszystko, co nadaje się do powtórnego użytku ( w szczególności teczki, spinacze, itp.);</w:t>
      </w:r>
    </w:p>
    <w:p w:rsidR="0055092F" w:rsidRDefault="0055092F">
      <w:pPr>
        <w:pStyle w:val="NormalnyWeb"/>
        <w:numPr>
          <w:ilvl w:val="0"/>
          <w:numId w:val="39"/>
        </w:numPr>
        <w:tabs>
          <w:tab w:val="left" w:pos="284"/>
        </w:tabs>
        <w:spacing w:before="0" w:after="0"/>
        <w:ind w:left="284" w:hanging="284"/>
        <w:jc w:val="both"/>
        <w:rPr>
          <w:rFonts w:ascii="Palatino Linotype" w:hAnsi="Palatino Linotype" w:cs="Palatino Linotype"/>
          <w:b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wszystko co utrudnia przerób makulatury na masę papierową (w szczególności części metalowe, plastikowe itp.).</w:t>
      </w: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b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36.</w:t>
      </w:r>
    </w:p>
    <w:p w:rsidR="0055092F" w:rsidRDefault="0055092F">
      <w:pPr>
        <w:numPr>
          <w:ilvl w:val="0"/>
          <w:numId w:val="4"/>
        </w:numPr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Jeżeli w wyniku procedury brakowania dokumentacji niearchiwalnej, właściwe miejscowo archiwum państwowe dokona uznania całości lub części tej dokumentacji za materiały archiwalne, archiwista zobowiązany jest do:</w:t>
      </w:r>
    </w:p>
    <w:p w:rsidR="0055092F" w:rsidRDefault="0055092F">
      <w:pPr>
        <w:pStyle w:val="NormalnyWeb"/>
        <w:numPr>
          <w:ilvl w:val="0"/>
          <w:numId w:val="27"/>
        </w:numPr>
        <w:tabs>
          <w:tab w:val="left" w:pos="851"/>
        </w:tabs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jej uporządkowania;</w:t>
      </w:r>
    </w:p>
    <w:p w:rsidR="0055092F" w:rsidRDefault="0055092F">
      <w:pPr>
        <w:pStyle w:val="NormalnyWeb"/>
        <w:numPr>
          <w:ilvl w:val="0"/>
          <w:numId w:val="27"/>
        </w:numPr>
        <w:tabs>
          <w:tab w:val="left" w:pos="851"/>
        </w:tabs>
        <w:spacing w:before="0" w:after="12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sporządzenia nowego spisu zdawczo-odbiorczego, zgodnie z zasadami określonymi w instrukcji kancelaryjnej.</w:t>
      </w:r>
    </w:p>
    <w:p w:rsidR="0055092F" w:rsidRDefault="0055092F">
      <w:pPr>
        <w:numPr>
          <w:ilvl w:val="0"/>
          <w:numId w:val="4"/>
        </w:numPr>
        <w:ind w:left="284" w:hanging="284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Spis zdawczo-odbiorczy, o którym mowa w ust. 1 pkt 2, rejestruje się w wykazie spisów zdawczo- odbiorczych, o którym mowa w § 16 pkt 2.</w:t>
      </w:r>
    </w:p>
    <w:p w:rsidR="0055092F" w:rsidRDefault="0055092F">
      <w:pPr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37.</w:t>
      </w:r>
    </w:p>
    <w:p w:rsidR="0055092F" w:rsidRDefault="0055092F">
      <w:pPr>
        <w:numPr>
          <w:ilvl w:val="2"/>
          <w:numId w:val="6"/>
        </w:numPr>
        <w:tabs>
          <w:tab w:val="left" w:pos="360"/>
        </w:tabs>
        <w:spacing w:after="120"/>
        <w:ind w:left="360" w:hanging="36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Po wybrakowaniu dokumentacji niearchiwalnej archiwista odnotowuje w środkach ewidencyjnych datę wybrakowania oraz numer zgody.</w:t>
      </w:r>
    </w:p>
    <w:p w:rsidR="0055092F" w:rsidRDefault="0055092F">
      <w:pPr>
        <w:numPr>
          <w:ilvl w:val="2"/>
          <w:numId w:val="6"/>
        </w:numPr>
        <w:tabs>
          <w:tab w:val="left" w:pos="360"/>
        </w:tabs>
        <w:ind w:left="360" w:hanging="36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Dokumentacja z procedury brakowania dokumentacji niearchiwalnej przechowywana jest przez składnicę akt.</w:t>
      </w:r>
    </w:p>
    <w:p w:rsidR="0055092F" w:rsidRDefault="0055092F">
      <w:pPr>
        <w:pStyle w:val="NormalnyWeb"/>
        <w:spacing w:before="0" w:after="0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agwek1"/>
        <w:rPr>
          <w:rFonts w:ascii="Palatino Linotype" w:hAnsi="Palatino Linotype" w:cs="Palatino Linotype"/>
          <w:sz w:val="22"/>
          <w:szCs w:val="24"/>
        </w:rPr>
      </w:pPr>
      <w:r>
        <w:rPr>
          <w:rFonts w:ascii="Palatino Linotype" w:hAnsi="Palatino Linotype" w:cs="Arial"/>
          <w:bCs/>
          <w:sz w:val="22"/>
          <w:szCs w:val="24"/>
        </w:rPr>
        <w:t>ROZDZIAŁ 11</w:t>
      </w:r>
    </w:p>
    <w:p w:rsidR="0055092F" w:rsidRDefault="0055092F">
      <w:pPr>
        <w:pStyle w:val="Nagwek2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i w:val="0"/>
          <w:sz w:val="22"/>
          <w:szCs w:val="24"/>
        </w:rPr>
        <w:t>Przekazywanie materiałów archiwalnych do archiwum państwowego</w:t>
      </w: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b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38.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W przypadku stwierdzenia występowania w składnicy akt materiałów archiwalnych (np.: odziedziczonych po innych jednostkach organizacyjnych) przekazywanie ich do archiwum państwowego następuje na podstawie przepisów art. 5 ustawy  z dnia 14 lipca 1983 r. o narodowym zasobie archiwalnym i archiwach  oraz przepisów wydanych na ich podstawie.</w:t>
      </w:r>
    </w:p>
    <w:p w:rsidR="0055092F" w:rsidRDefault="0055092F">
      <w:pPr>
        <w:pStyle w:val="NormalnyWeb"/>
        <w:spacing w:before="0" w:after="0"/>
        <w:jc w:val="both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§ 39.</w:t>
      </w:r>
    </w:p>
    <w:p w:rsidR="0055092F" w:rsidRDefault="0055092F">
      <w:pPr>
        <w:numPr>
          <w:ilvl w:val="2"/>
          <w:numId w:val="16"/>
        </w:numPr>
        <w:tabs>
          <w:tab w:val="left" w:pos="360"/>
        </w:tabs>
        <w:spacing w:after="120"/>
        <w:ind w:left="360" w:hanging="36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lastRenderedPageBreak/>
        <w:t>Po przekazaniu materiałów archiwalnych archiwista odnotowuje w środkach ewidencyjnych datę przekazania tych materiałów.</w:t>
      </w:r>
    </w:p>
    <w:p w:rsidR="0055092F" w:rsidRDefault="0055092F">
      <w:pPr>
        <w:numPr>
          <w:ilvl w:val="2"/>
          <w:numId w:val="16"/>
        </w:numPr>
        <w:tabs>
          <w:tab w:val="left" w:pos="360"/>
        </w:tabs>
        <w:ind w:left="360" w:hanging="360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Dokumentacja z przekazywania materiałów archiwalnych do archiwum państwowego przechowywana jest przez składnicę akt.</w:t>
      </w:r>
    </w:p>
    <w:p w:rsidR="0055092F" w:rsidRDefault="0055092F">
      <w:pPr>
        <w:pStyle w:val="NormalnyWeb"/>
        <w:spacing w:before="0" w:after="0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b/>
          <w:sz w:val="22"/>
          <w:szCs w:val="22"/>
        </w:rPr>
      </w:pPr>
    </w:p>
    <w:p w:rsidR="0055092F" w:rsidRDefault="0055092F">
      <w:pPr>
        <w:pStyle w:val="Nagwek1"/>
        <w:rPr>
          <w:rFonts w:ascii="Palatino Linotype" w:hAnsi="Palatino Linotype" w:cs="Palatino Linotype"/>
          <w:sz w:val="22"/>
          <w:szCs w:val="24"/>
        </w:rPr>
      </w:pPr>
      <w:r>
        <w:rPr>
          <w:rFonts w:ascii="Palatino Linotype" w:hAnsi="Palatino Linotype" w:cs="Arial"/>
          <w:bCs/>
          <w:sz w:val="22"/>
          <w:szCs w:val="24"/>
        </w:rPr>
        <w:t>ROZDZIAŁ 12</w:t>
      </w:r>
    </w:p>
    <w:p w:rsidR="0055092F" w:rsidRDefault="0055092F">
      <w:pPr>
        <w:pStyle w:val="Nagwek2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i w:val="0"/>
          <w:sz w:val="22"/>
          <w:szCs w:val="24"/>
        </w:rPr>
        <w:t>Postanowienia końcowe</w:t>
      </w: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ormalnyWeb"/>
        <w:spacing w:before="0" w:after="0"/>
        <w:jc w:val="center"/>
        <w:rPr>
          <w:rFonts w:ascii="Palatino Linotype" w:hAnsi="Palatino Linotype" w:cs="Arial"/>
          <w:sz w:val="22"/>
        </w:rPr>
      </w:pPr>
      <w:r>
        <w:rPr>
          <w:rFonts w:ascii="Palatino Linotype" w:hAnsi="Palatino Linotype" w:cs="Palatino Linotype"/>
          <w:sz w:val="22"/>
        </w:rPr>
        <w:t>§ 40.</w:t>
      </w:r>
    </w:p>
    <w:p w:rsidR="0055092F" w:rsidRDefault="0055092F">
      <w:pPr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Arial"/>
          <w:sz w:val="22"/>
        </w:rPr>
        <w:t>Dyrektor właściwego miejscowo Archiwum Państwowego może uzna</w:t>
      </w:r>
      <w:r w:rsidR="00B83EC0">
        <w:rPr>
          <w:rFonts w:ascii="Palatino Linotype" w:hAnsi="Palatino Linotype" w:cs="Arial"/>
          <w:sz w:val="22"/>
        </w:rPr>
        <w:t>ć MP37</w:t>
      </w:r>
      <w:r>
        <w:rPr>
          <w:rFonts w:ascii="Palatino Linotype" w:hAnsi="Palatino Linotype" w:cs="Arial"/>
          <w:color w:val="FF0000"/>
          <w:sz w:val="22"/>
        </w:rPr>
        <w:t xml:space="preserve"> </w:t>
      </w:r>
      <w:r>
        <w:rPr>
          <w:rFonts w:ascii="Palatino Linotype" w:hAnsi="Palatino Linotype" w:cs="Arial"/>
          <w:sz w:val="22"/>
        </w:rPr>
        <w:t>za jednostkę tworzącą materiały archiwalne wchodzące w skład państwowego zasobu archiwalnego. W takim przypadku</w:t>
      </w:r>
      <w:r w:rsidR="00B83EC0">
        <w:rPr>
          <w:rFonts w:ascii="Palatino Linotype" w:hAnsi="Palatino Linotype" w:cs="Arial"/>
          <w:sz w:val="22"/>
        </w:rPr>
        <w:t xml:space="preserve"> Dyrektor M\P 37</w:t>
      </w:r>
      <w:r>
        <w:rPr>
          <w:rFonts w:ascii="Palatino Linotype" w:hAnsi="Palatino Linotype" w:cs="Arial"/>
          <w:color w:val="FF0000"/>
          <w:sz w:val="22"/>
        </w:rPr>
        <w:t xml:space="preserve"> </w:t>
      </w:r>
      <w:r>
        <w:rPr>
          <w:rFonts w:ascii="Palatino Linotype" w:hAnsi="Palatino Linotype" w:cs="Arial"/>
          <w:sz w:val="22"/>
        </w:rPr>
        <w:t>jest zobowiązany do zorganizowania w jednostce archiwum zakładowego oraz opracowania  Instrukcji o organizacji i zakresie działania archiwum zakładowego</w:t>
      </w:r>
    </w:p>
    <w:p w:rsidR="0055092F" w:rsidRDefault="0055092F">
      <w:pPr>
        <w:pageBreakBefore/>
        <w:spacing w:after="200" w:line="276" w:lineRule="auto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pStyle w:val="Nagwek1"/>
        <w:jc w:val="right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Arial"/>
          <w:szCs w:val="24"/>
        </w:rPr>
        <w:t>Załącznik nr 1</w:t>
      </w:r>
      <w:r>
        <w:rPr>
          <w:rFonts w:ascii="Palatino Linotype" w:hAnsi="Palatino Linotype" w:cs="Palatino Linotype"/>
          <w:sz w:val="22"/>
          <w:szCs w:val="22"/>
        </w:rPr>
        <w:br/>
        <w:t>do instrukcji archiwalnej</w:t>
      </w:r>
    </w:p>
    <w:p w:rsidR="0055092F" w:rsidRDefault="0055092F">
      <w:pPr>
        <w:spacing w:line="360" w:lineRule="auto"/>
        <w:ind w:left="454"/>
        <w:jc w:val="center"/>
        <w:rPr>
          <w:rFonts w:ascii="Palatino Linotype" w:hAnsi="Palatino Linotype" w:cs="Palatino Linotype"/>
          <w:b/>
          <w:sz w:val="22"/>
          <w:szCs w:val="22"/>
        </w:rPr>
      </w:pPr>
      <w:r>
        <w:rPr>
          <w:rFonts w:ascii="Palatino Linotype" w:hAnsi="Palatino Linotype" w:cs="Palatino Linotype"/>
          <w:b/>
          <w:sz w:val="22"/>
          <w:szCs w:val="22"/>
        </w:rPr>
        <w:t>Warunki wilgotności i temperatury</w:t>
      </w:r>
      <w:r>
        <w:rPr>
          <w:rFonts w:ascii="Palatino Linotype" w:hAnsi="Palatino Linotype" w:cs="Palatino Linotype"/>
          <w:b/>
          <w:sz w:val="22"/>
          <w:szCs w:val="22"/>
        </w:rPr>
        <w:br/>
        <w:t>w pomieszczeniach magazynowych składnicy akt</w:t>
      </w:r>
    </w:p>
    <w:p w:rsidR="0055092F" w:rsidRDefault="0055092F">
      <w:pPr>
        <w:spacing w:line="360" w:lineRule="auto"/>
        <w:ind w:left="454"/>
        <w:jc w:val="center"/>
        <w:rPr>
          <w:rFonts w:ascii="Palatino Linotype" w:hAnsi="Palatino Linotype" w:cs="Palatino Linotype"/>
          <w:b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2411"/>
        <w:gridCol w:w="754"/>
        <w:gridCol w:w="755"/>
        <w:gridCol w:w="1842"/>
        <w:gridCol w:w="921"/>
        <w:gridCol w:w="922"/>
        <w:gridCol w:w="1853"/>
      </w:tblGrid>
      <w:tr w:rsidR="0055092F">
        <w:trPr>
          <w:cantSplit/>
        </w:trPr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  <w:t>Rodzaj dokumentacji</w:t>
            </w:r>
          </w:p>
        </w:tc>
        <w:tc>
          <w:tcPr>
            <w:tcW w:w="1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  <w:t>Właściwa temperatura powietrza (w stopniach Celsjusza)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  <w:t>Dopuszczalne wahania dobowe temperatury powietrza (w stopniach Celsjusza)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  <w:t>Właściwa wilgotność względna powietrza (w % RH)</w:t>
            </w:r>
          </w:p>
        </w:tc>
        <w:tc>
          <w:tcPr>
            <w:tcW w:w="1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</w:pPr>
            <w:r>
              <w:rPr>
                <w:rFonts w:ascii="Palatino Linotype" w:hAnsi="Palatino Linotype" w:cs="Palatino Linotype"/>
                <w:b/>
                <w:bCs/>
                <w:sz w:val="22"/>
                <w:szCs w:val="22"/>
              </w:rPr>
              <w:t>Dopuszczalne wahania dobowe wilgotności względnej powietrza (w % RH)</w:t>
            </w:r>
          </w:p>
        </w:tc>
      </w:tr>
      <w:tr w:rsidR="0055092F">
        <w:trPr>
          <w:cantSplit/>
        </w:trPr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napToGrid w:val="0"/>
              <w:spacing w:before="60" w:after="60"/>
              <w:rPr>
                <w:rFonts w:ascii="Palatino Linotype" w:hAnsi="Palatino Linotype" w:cs="Palatino Linotype"/>
                <w:bCs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  <w:lang w:val="en-US"/>
              </w:rPr>
              <w:t>min.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lang w:val="en-US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  <w:lang w:val="en-US"/>
              </w:rPr>
              <w:t>maks</w:t>
            </w: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napToGrid w:val="0"/>
              <w:spacing w:before="60" w:after="60"/>
              <w:rPr>
                <w:rFonts w:ascii="Palatino Linotype" w:hAnsi="Palatino Linotype" w:cs="Palatino Linotype"/>
                <w:bCs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  <w:lang w:val="en-US"/>
              </w:rPr>
              <w:t>min.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lang w:val="en-US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  <w:lang w:val="en-US"/>
              </w:rPr>
              <w:t>maks</w:t>
            </w:r>
          </w:p>
        </w:tc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napToGrid w:val="0"/>
              <w:spacing w:before="60" w:after="60"/>
              <w:rPr>
                <w:rFonts w:ascii="Palatino Linotype" w:hAnsi="Palatino Linotype" w:cs="Palatino Linotype"/>
                <w:bCs/>
                <w:lang w:val="en-US"/>
              </w:rPr>
            </w:pPr>
          </w:p>
        </w:tc>
      </w:tr>
      <w:tr w:rsidR="0055092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1. Papier</w:t>
            </w:r>
            <w:r>
              <w:rPr>
                <w:rFonts w:ascii="Palatino Linotype" w:hAnsi="Palatino Linotype" w:cs="Palatino Linotype"/>
                <w:sz w:val="22"/>
                <w:szCs w:val="22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14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30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50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3</w:t>
            </w:r>
          </w:p>
        </w:tc>
      </w:tr>
      <w:tr w:rsidR="0055092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rPr>
                <w:rFonts w:ascii="Palatino Linotype" w:hAnsi="Palatino Linotype" w:cs="Palatino Linotype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2. Dokumentacja audiowizualna:</w:t>
            </w:r>
            <w:r>
              <w:rPr>
                <w:rFonts w:ascii="Palatino Linotype" w:hAnsi="Palatino Linotype" w:cs="Palatino Linotype"/>
                <w:sz w:val="22"/>
                <w:szCs w:val="22"/>
              </w:rPr>
              <w:t xml:space="preserve"> </w:t>
            </w:r>
          </w:p>
        </w:tc>
        <w:tc>
          <w:tcPr>
            <w:tcW w:w="70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napToGrid w:val="0"/>
              <w:spacing w:before="60" w:after="60"/>
              <w:rPr>
                <w:rFonts w:ascii="Palatino Linotype" w:hAnsi="Palatino Linotype" w:cs="Palatino Linotype"/>
              </w:rPr>
            </w:pPr>
          </w:p>
        </w:tc>
      </w:tr>
      <w:tr w:rsidR="0055092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ind w:left="360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2.a. Fotografia czarno-biała (negatywy i pozytywy)</w:t>
            </w:r>
            <w:r>
              <w:rPr>
                <w:rFonts w:ascii="Palatino Linotype" w:hAnsi="Palatino Linotype" w:cs="Palatino Linotype"/>
                <w:sz w:val="22"/>
                <w:szCs w:val="22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i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3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iCs/>
                <w:sz w:val="22"/>
                <w:szCs w:val="22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20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50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5</w:t>
            </w:r>
          </w:p>
        </w:tc>
      </w:tr>
      <w:tr w:rsidR="0055092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ind w:left="360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2.b. Fotografia kolorowa (negatywy i pozytywy),</w:t>
            </w:r>
            <w:r>
              <w:rPr>
                <w:rFonts w:ascii="Palatino Linotype" w:hAnsi="Palatino Linotype" w:cs="Palatino Linotype"/>
                <w:sz w:val="22"/>
                <w:szCs w:val="22"/>
              </w:rPr>
              <w:t xml:space="preserve"> </w:t>
            </w:r>
          </w:p>
          <w:p w:rsidR="0055092F" w:rsidRDefault="0055092F">
            <w:pPr>
              <w:spacing w:before="60" w:after="60"/>
              <w:ind w:left="360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taśma filmowa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3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20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50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5</w:t>
            </w:r>
          </w:p>
        </w:tc>
      </w:tr>
      <w:tr w:rsidR="0055092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ind w:left="360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2.c. Taśmy magnetyczne do analogowego zapisu obrazu lub dźwięku</w:t>
            </w:r>
            <w:r>
              <w:rPr>
                <w:rFonts w:ascii="Palatino Linotype" w:hAnsi="Palatino Linotype" w:cs="Palatino Linotype"/>
                <w:sz w:val="22"/>
                <w:szCs w:val="22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8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20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50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5</w:t>
            </w:r>
          </w:p>
        </w:tc>
      </w:tr>
      <w:tr w:rsidR="0055092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3. Informatyczne nośniki danych</w:t>
            </w:r>
            <w:r>
              <w:rPr>
                <w:rFonts w:ascii="Palatino Linotype" w:hAnsi="Palatino Linotype" w:cs="Palatino Linotype"/>
                <w:sz w:val="22"/>
                <w:szCs w:val="22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12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30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  <w:rPr>
                <w:rFonts w:ascii="Palatino Linotype" w:hAnsi="Palatino Linotype" w:cs="Palatino Linotype"/>
                <w:bCs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40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92F" w:rsidRDefault="0055092F">
            <w:pPr>
              <w:spacing w:before="60" w:after="60"/>
              <w:jc w:val="center"/>
            </w:pPr>
            <w:r>
              <w:rPr>
                <w:rFonts w:ascii="Palatino Linotype" w:hAnsi="Palatino Linotype" w:cs="Palatino Linotype"/>
                <w:bCs/>
                <w:sz w:val="22"/>
                <w:szCs w:val="22"/>
              </w:rPr>
              <w:t>5</w:t>
            </w:r>
          </w:p>
        </w:tc>
      </w:tr>
    </w:tbl>
    <w:p w:rsidR="0055092F" w:rsidRDefault="0055092F">
      <w:pPr>
        <w:rPr>
          <w:rFonts w:ascii="Palatino Linotype" w:hAnsi="Palatino Linotype" w:cs="Palatino Linotype"/>
          <w:sz w:val="22"/>
          <w:szCs w:val="22"/>
          <w:vertAlign w:val="superscript"/>
        </w:rPr>
      </w:pPr>
    </w:p>
    <w:p w:rsidR="0055092F" w:rsidRDefault="0055092F">
      <w:pPr>
        <w:jc w:val="both"/>
        <w:rPr>
          <w:rFonts w:ascii="Palatino Linotype" w:hAnsi="Palatino Linotype" w:cs="Palatino Linotype"/>
          <w:color w:val="FF0000"/>
          <w:sz w:val="22"/>
          <w:szCs w:val="22"/>
          <w:vertAlign w:val="superscript"/>
        </w:rPr>
      </w:pPr>
    </w:p>
    <w:p w:rsidR="0055092F" w:rsidRDefault="0055092F">
      <w:pPr>
        <w:spacing w:line="360" w:lineRule="auto"/>
        <w:rPr>
          <w:rFonts w:ascii="Palatino Linotype" w:hAnsi="Palatino Linotype" w:cs="Palatino Linotype"/>
          <w:sz w:val="22"/>
          <w:szCs w:val="22"/>
        </w:rPr>
      </w:pPr>
    </w:p>
    <w:p w:rsidR="0055092F" w:rsidRDefault="0055092F">
      <w:pPr>
        <w:jc w:val="right"/>
      </w:pPr>
    </w:p>
    <w:sectPr w:rsidR="0055092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567" w:footer="851" w:gutter="0"/>
      <w:pgNumType w:start="1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798" w:rsidRDefault="00940798">
      <w:r>
        <w:separator/>
      </w:r>
    </w:p>
  </w:endnote>
  <w:endnote w:type="continuationSeparator" w:id="0">
    <w:p w:rsidR="00940798" w:rsidRDefault="009407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Pro-Roman">
    <w:altName w:val="Yu Gothic"/>
    <w:charset w:val="80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92F" w:rsidRDefault="0055092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92F" w:rsidRDefault="0055092F">
    <w:pPr>
      <w:pStyle w:val="Stopka"/>
    </w:pPr>
    <w:r>
      <w:rPr>
        <w:rFonts w:ascii="Century Gothic" w:hAnsi="Century Gothic" w:cs="Century Gothic"/>
        <w:sz w:val="16"/>
        <w:szCs w:val="16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92F" w:rsidRDefault="0055092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798" w:rsidRDefault="00940798">
      <w:r>
        <w:separator/>
      </w:r>
    </w:p>
  </w:footnote>
  <w:footnote w:type="continuationSeparator" w:id="0">
    <w:p w:rsidR="00940798" w:rsidRDefault="009407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92F" w:rsidRDefault="0055092F">
    <w:pPr>
      <w:pStyle w:val="Nagwek"/>
      <w:jc w:val="right"/>
    </w:pPr>
    <w:fldSimple w:instr=" PAGE ">
      <w:r w:rsidR="00DC14CB">
        <w:rPr>
          <w:noProof/>
        </w:rPr>
        <w:t>15</w:t>
      </w:r>
    </w:fldSimple>
  </w:p>
  <w:p w:rsidR="0055092F" w:rsidRDefault="005509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92F" w:rsidRDefault="0055092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3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upperRoman"/>
      <w:suff w:val="space"/>
      <w:lvlText w:val="Rozdział %1."/>
      <w:lvlJc w:val="center"/>
      <w:pPr>
        <w:tabs>
          <w:tab w:val="num" w:pos="0"/>
        </w:tabs>
        <w:ind w:left="288" w:firstLine="288"/>
      </w:pPr>
      <w:rPr>
        <w:rFonts w:hint="default"/>
        <w:b/>
        <w:i w:val="0"/>
      </w:rPr>
    </w:lvl>
    <w:lvl w:ilvl="1">
      <w:start w:val="1"/>
      <w:numFmt w:val="decimal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ascii="Palatino Linotype" w:hAnsi="Palatino Linotype" w:cs="Palatino Linotype" w:hint="default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6">
    <w:nsid w:val="00000007"/>
    <w:multiLevelType w:val="singleLevel"/>
    <w:tmpl w:val="00000007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Palatino Linotype" w:hAnsi="Palatino Linotype" w:cs="Palatino Linotype"/>
        <w:b w:val="0"/>
        <w:sz w:val="22"/>
        <w:szCs w:val="22"/>
      </w:rPr>
    </w:lvl>
  </w:abstractNum>
  <w:abstractNum w:abstractNumId="7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8">
    <w:nsid w:val="00000009"/>
    <w:multiLevelType w:val="singleLevel"/>
    <w:tmpl w:val="00000009"/>
    <w:name w:val="WW8Num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9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10">
    <w:nsid w:val="0000000B"/>
    <w:multiLevelType w:val="single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11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Cs/>
        <w:sz w:val="22"/>
        <w:szCs w:val="22"/>
      </w:rPr>
    </w:lvl>
  </w:abstractNum>
  <w:abstractNum w:abstractNumId="12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13">
    <w:nsid w:val="0000000E"/>
    <w:multiLevelType w:val="singleLevel"/>
    <w:tmpl w:val="0000000E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14">
    <w:nsid w:val="0000000F"/>
    <w:multiLevelType w:val="multilevel"/>
    <w:tmpl w:val="0000000F"/>
    <w:name w:val="WW8Num14"/>
    <w:lvl w:ilvl="0">
      <w:start w:val="1"/>
      <w:numFmt w:val="upperRoman"/>
      <w:suff w:val="space"/>
      <w:lvlText w:val="Rozdział %1."/>
      <w:lvlJc w:val="center"/>
      <w:pPr>
        <w:tabs>
          <w:tab w:val="num" w:pos="0"/>
        </w:tabs>
        <w:ind w:left="288" w:firstLine="288"/>
      </w:pPr>
      <w:rPr>
        <w:rFonts w:hint="default"/>
        <w:b/>
        <w:i w:val="0"/>
      </w:rPr>
    </w:lvl>
    <w:lvl w:ilvl="1">
      <w:start w:val="1"/>
      <w:numFmt w:val="decimal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ascii="Palatino Linotype" w:hAnsi="Palatino Linotype" w:cs="Palatino Linotype" w:hint="default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ascii="Palatino Linotype" w:hAnsi="Palatino Linotype" w:cs="Palatino Linotype" w:hint="default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ascii="Palatino Linotype" w:hAnsi="Palatino Linotype" w:cs="Palatino Linotype" w:hint="default"/>
        <w:sz w:val="22"/>
        <w:szCs w:val="22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ascii="Palatino Linotype" w:hAnsi="Palatino Linotype" w:cs="Palatino Linotype" w:hint="default"/>
        <w:sz w:val="22"/>
        <w:szCs w:val="22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ascii="Palatino Linotype" w:hAnsi="Palatino Linotype" w:cs="Palatino Linotype" w:hint="default"/>
        <w:sz w:val="22"/>
        <w:szCs w:val="22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ascii="Palatino Linotype" w:hAnsi="Palatino Linotype" w:cs="Palatino Linotype" w:hint="default"/>
        <w:sz w:val="22"/>
        <w:szCs w:val="22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ascii="Palatino Linotype" w:hAnsi="Palatino Linotype" w:cs="Palatino Linotype" w:hint="default"/>
        <w:sz w:val="22"/>
        <w:szCs w:val="22"/>
      </w:rPr>
    </w:lvl>
  </w:abstractNum>
  <w:abstractNum w:abstractNumId="15">
    <w:nsid w:val="00000010"/>
    <w:multiLevelType w:val="multilevel"/>
    <w:tmpl w:val="00000010"/>
    <w:name w:val="WW8Num15"/>
    <w:lvl w:ilvl="0">
      <w:start w:val="1"/>
      <w:numFmt w:val="upperRoman"/>
      <w:suff w:val="space"/>
      <w:lvlText w:val="Rozdział %1."/>
      <w:lvlJc w:val="center"/>
      <w:pPr>
        <w:tabs>
          <w:tab w:val="num" w:pos="0"/>
        </w:tabs>
        <w:ind w:left="288" w:firstLine="288"/>
      </w:pPr>
      <w:rPr>
        <w:rFonts w:hint="default"/>
        <w:b/>
        <w:i w:val="0"/>
      </w:rPr>
    </w:lvl>
    <w:lvl w:ilvl="1">
      <w:start w:val="1"/>
      <w:numFmt w:val="decimal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ascii="Palatino Linotype" w:hAnsi="Palatino Linotype" w:cs="Palatino Linotype" w:hint="default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16">
    <w:nsid w:val="00000011"/>
    <w:multiLevelType w:val="single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Palatino Linotype" w:hAnsi="Palatino Linotype" w:cs="Palatino Linotype" w:hint="default"/>
        <w:b w:val="0"/>
        <w:bCs w:val="0"/>
        <w:sz w:val="22"/>
        <w:szCs w:val="22"/>
      </w:rPr>
    </w:lvl>
  </w:abstractNum>
  <w:abstractNum w:abstractNumId="17">
    <w:nsid w:val="00000012"/>
    <w:multiLevelType w:val="singleLevel"/>
    <w:tmpl w:val="00000012"/>
    <w:name w:val="WW8Num1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8">
    <w:nsid w:val="00000013"/>
    <w:multiLevelType w:val="singleLevel"/>
    <w:tmpl w:val="00000013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19">
    <w:nsid w:val="00000014"/>
    <w:multiLevelType w:val="singleLevel"/>
    <w:tmpl w:val="00000014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20">
    <w:nsid w:val="00000015"/>
    <w:multiLevelType w:val="singleLevel"/>
    <w:tmpl w:val="00000015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b w:val="0"/>
      </w:rPr>
    </w:lvl>
  </w:abstractNum>
  <w:abstractNum w:abstractNumId="21">
    <w:nsid w:val="00000016"/>
    <w:multiLevelType w:val="multilevel"/>
    <w:tmpl w:val="00000016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Palatino Linotype" w:hAnsi="Palatino Linotype" w:cs="Palatino Linotype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ascii="Palatino Linotype" w:hAnsi="Palatino Linotype" w:cs="Palatino Linotype" w:hint="default"/>
        <w:b w:val="0"/>
        <w:bCs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0000017"/>
    <w:multiLevelType w:val="singleLevel"/>
    <w:tmpl w:val="00000017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Times New Roman" w:hint="default"/>
        <w:b w:val="0"/>
        <w:bCs/>
        <w:color w:val="FF0000"/>
        <w:sz w:val="22"/>
        <w:szCs w:val="22"/>
      </w:rPr>
    </w:lvl>
  </w:abstractNum>
  <w:abstractNum w:abstractNumId="23">
    <w:nsid w:val="00000018"/>
    <w:multiLevelType w:val="singleLevel"/>
    <w:tmpl w:val="00000018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24">
    <w:nsid w:val="00000019"/>
    <w:multiLevelType w:val="singleLevel"/>
    <w:tmpl w:val="00000019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25">
    <w:nsid w:val="0000001A"/>
    <w:multiLevelType w:val="singleLevel"/>
    <w:tmpl w:val="0000001A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b w:val="0"/>
      </w:rPr>
    </w:lvl>
  </w:abstractNum>
  <w:abstractNum w:abstractNumId="26">
    <w:nsid w:val="0000001B"/>
    <w:multiLevelType w:val="singleLevel"/>
    <w:tmpl w:val="0000001B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78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27">
    <w:nsid w:val="0000001C"/>
    <w:multiLevelType w:val="singleLevel"/>
    <w:tmpl w:val="0000001C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28">
    <w:nsid w:val="0000001D"/>
    <w:multiLevelType w:val="multilevel"/>
    <w:tmpl w:val="0000001D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>
    <w:nsid w:val="0000001E"/>
    <w:multiLevelType w:val="singleLevel"/>
    <w:tmpl w:val="0000001E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Palatino Linotype" w:hAnsi="Palatino Linotype" w:cs="Palatino Linotype" w:hint="default"/>
        <w:b w:val="0"/>
        <w:i w:val="0"/>
        <w:sz w:val="22"/>
      </w:rPr>
    </w:lvl>
  </w:abstractNum>
  <w:abstractNum w:abstractNumId="30">
    <w:nsid w:val="0000001F"/>
    <w:multiLevelType w:val="multilevel"/>
    <w:tmpl w:val="0000001F"/>
    <w:name w:val="WW8Num3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ascii="Palatino Linotype" w:hAnsi="Palatino Linotype" w:cs="Palatino Linotype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00000020"/>
    <w:multiLevelType w:val="singleLevel"/>
    <w:tmpl w:val="00000020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32">
    <w:nsid w:val="00000021"/>
    <w:multiLevelType w:val="singleLevel"/>
    <w:tmpl w:val="00000021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Palatino Linotype" w:hAnsi="Palatino Linotype" w:cs="Palatino Linotype"/>
        <w:sz w:val="22"/>
      </w:rPr>
    </w:lvl>
  </w:abstractNum>
  <w:abstractNum w:abstractNumId="33">
    <w:nsid w:val="00000022"/>
    <w:multiLevelType w:val="singleLevel"/>
    <w:tmpl w:val="00000022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4">
    <w:nsid w:val="00000023"/>
    <w:multiLevelType w:val="singleLevel"/>
    <w:tmpl w:val="00000023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35">
    <w:nsid w:val="00000024"/>
    <w:multiLevelType w:val="singleLevel"/>
    <w:tmpl w:val="00000024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36">
    <w:nsid w:val="00000025"/>
    <w:multiLevelType w:val="multilevel"/>
    <w:tmpl w:val="00000025"/>
    <w:name w:val="WW8Num36"/>
    <w:lvl w:ilvl="0">
      <w:start w:val="1"/>
      <w:numFmt w:val="upperRoman"/>
      <w:suff w:val="space"/>
      <w:lvlText w:val="Rozdział %1."/>
      <w:lvlJc w:val="center"/>
      <w:pPr>
        <w:tabs>
          <w:tab w:val="num" w:pos="0"/>
        </w:tabs>
        <w:ind w:left="288" w:firstLine="288"/>
      </w:pPr>
      <w:rPr>
        <w:rFonts w:hint="default"/>
        <w:b/>
        <w:i w:val="0"/>
      </w:rPr>
    </w:lvl>
    <w:lvl w:ilvl="1">
      <w:start w:val="1"/>
      <w:numFmt w:val="decimal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ascii="Palatino Linotype" w:hAnsi="Palatino Linotype" w:cs="Palatino Linotype" w:hint="default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ascii="Palatino Linotype" w:hAnsi="Palatino Linotype" w:cs="Palatino Linotype" w:hint="default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ascii="Palatino Linotype" w:hAnsi="Palatino Linotype" w:cs="Palatino Linotype" w:hint="default"/>
        <w:sz w:val="22"/>
        <w:szCs w:val="22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ascii="Palatino Linotype" w:hAnsi="Palatino Linotype" w:cs="Palatino Linotype" w:hint="default"/>
        <w:sz w:val="22"/>
        <w:szCs w:val="22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ascii="Palatino Linotype" w:hAnsi="Palatino Linotype" w:cs="Palatino Linotype" w:hint="default"/>
        <w:sz w:val="22"/>
        <w:szCs w:val="22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ascii="Palatino Linotype" w:hAnsi="Palatino Linotype" w:cs="Palatino Linotype" w:hint="default"/>
        <w:sz w:val="22"/>
        <w:szCs w:val="22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ascii="Palatino Linotype" w:hAnsi="Palatino Linotype" w:cs="Palatino Linotype" w:hint="default"/>
        <w:sz w:val="22"/>
        <w:szCs w:val="22"/>
      </w:rPr>
    </w:lvl>
  </w:abstractNum>
  <w:abstractNum w:abstractNumId="37">
    <w:nsid w:val="00000026"/>
    <w:multiLevelType w:val="multilevel"/>
    <w:tmpl w:val="00000026"/>
    <w:name w:val="WW8Num37"/>
    <w:lvl w:ilvl="0">
      <w:start w:val="1"/>
      <w:numFmt w:val="upperRoman"/>
      <w:suff w:val="space"/>
      <w:lvlText w:val="Rozdział %1."/>
      <w:lvlJc w:val="center"/>
      <w:pPr>
        <w:tabs>
          <w:tab w:val="num" w:pos="0"/>
        </w:tabs>
        <w:ind w:left="288" w:firstLine="288"/>
      </w:pPr>
      <w:rPr>
        <w:rFonts w:hint="default"/>
        <w:b/>
        <w:i w:val="0"/>
      </w:rPr>
    </w:lvl>
    <w:lvl w:ilvl="1">
      <w:start w:val="1"/>
      <w:numFmt w:val="decimal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ascii="Palatino Linotype" w:hAnsi="Palatino Linotype" w:cs="Palatino Linotype" w:hint="default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ascii="Palatino Linotype" w:hAnsi="Palatino Linotype" w:cs="Palatino Linotype" w:hint="default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ascii="Palatino Linotype" w:hAnsi="Palatino Linotype" w:cs="Palatino Linotype" w:hint="default"/>
        <w:sz w:val="22"/>
        <w:szCs w:val="22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ascii="Palatino Linotype" w:hAnsi="Palatino Linotype" w:cs="Palatino Linotype" w:hint="default"/>
        <w:sz w:val="22"/>
        <w:szCs w:val="22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ascii="Palatino Linotype" w:hAnsi="Palatino Linotype" w:cs="Palatino Linotype" w:hint="default"/>
        <w:sz w:val="22"/>
        <w:szCs w:val="22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ascii="Palatino Linotype" w:hAnsi="Palatino Linotype" w:cs="Palatino Linotype" w:hint="default"/>
        <w:sz w:val="22"/>
        <w:szCs w:val="22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ascii="Palatino Linotype" w:hAnsi="Palatino Linotype" w:cs="Palatino Linotype" w:hint="default"/>
        <w:sz w:val="22"/>
        <w:szCs w:val="22"/>
      </w:rPr>
    </w:lvl>
  </w:abstractNum>
  <w:abstractNum w:abstractNumId="38">
    <w:nsid w:val="00000027"/>
    <w:multiLevelType w:val="singleLevel"/>
    <w:tmpl w:val="00000027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80" w:hanging="360"/>
      </w:pPr>
      <w:rPr>
        <w:rFonts w:ascii="Palatino Linotype" w:hAnsi="Palatino Linotype" w:cs="Palatino Linotype" w:hint="default"/>
        <w:b w:val="0"/>
        <w:i w:val="0"/>
        <w:sz w:val="22"/>
      </w:rPr>
    </w:lvl>
  </w:abstractNum>
  <w:abstractNum w:abstractNumId="39">
    <w:nsid w:val="00000028"/>
    <w:multiLevelType w:val="singleLevel"/>
    <w:tmpl w:val="0000002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40">
    <w:nsid w:val="00000029"/>
    <w:multiLevelType w:val="singleLevel"/>
    <w:tmpl w:val="00000029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cs="Times New Roman"/>
        <w:strike w:val="0"/>
        <w:dstrike w:val="0"/>
      </w:rPr>
    </w:lvl>
  </w:abstractNum>
  <w:abstractNum w:abstractNumId="41">
    <w:nsid w:val="0000002A"/>
    <w:multiLevelType w:val="singleLevel"/>
    <w:tmpl w:val="0000002A"/>
    <w:name w:val="WW8Num4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</w:abstractNum>
  <w:abstractNum w:abstractNumId="42">
    <w:nsid w:val="0000002B"/>
    <w:multiLevelType w:val="singleLevel"/>
    <w:tmpl w:val="0000002B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</w:rPr>
    </w:lvl>
  </w:abstractNum>
  <w:abstractNum w:abstractNumId="43">
    <w:nsid w:val="0000002C"/>
    <w:multiLevelType w:val="multilevel"/>
    <w:tmpl w:val="0000002C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>
    <w:nsid w:val="0000002D"/>
    <w:multiLevelType w:val="singleLevel"/>
    <w:tmpl w:val="0000002D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45">
    <w:nsid w:val="0000002E"/>
    <w:multiLevelType w:val="singleLevel"/>
    <w:tmpl w:val="0000002E"/>
    <w:name w:val="WW8Num45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46">
    <w:nsid w:val="0000002F"/>
    <w:multiLevelType w:val="singleLevel"/>
    <w:tmpl w:val="0000002F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47">
    <w:nsid w:val="00000030"/>
    <w:multiLevelType w:val="singleLevel"/>
    <w:tmpl w:val="00000030"/>
    <w:name w:val="WW8Num47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48">
    <w:nsid w:val="00000031"/>
    <w:multiLevelType w:val="singleLevel"/>
    <w:tmpl w:val="00000031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49">
    <w:nsid w:val="00000032"/>
    <w:multiLevelType w:val="singleLevel"/>
    <w:tmpl w:val="0000003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639"/>
    <w:rsid w:val="0055092F"/>
    <w:rsid w:val="008122B1"/>
    <w:rsid w:val="00940798"/>
    <w:rsid w:val="009C3639"/>
    <w:rsid w:val="009F0A3D"/>
    <w:rsid w:val="00B83EC0"/>
    <w:rsid w:val="00DC1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after="240"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  <w:rPr>
      <w:rFonts w:ascii="Palatino Linotype" w:hAnsi="Palatino Linotype" w:cs="Palatino Linotype"/>
      <w:sz w:val="22"/>
      <w:szCs w:val="22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Palatino Linotype" w:hAnsi="Palatino Linotype" w:cs="Palatino Linotype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b/>
      <w:i w:val="0"/>
    </w:rPr>
  </w:style>
  <w:style w:type="character" w:customStyle="1" w:styleId="WW8Num5z2">
    <w:name w:val="WW8Num5z2"/>
    <w:rPr>
      <w:rFonts w:ascii="Palatino Linotype" w:hAnsi="Palatino Linotype" w:cs="Palatino Linotype" w:hint="default"/>
      <w:sz w:val="22"/>
      <w:szCs w:val="22"/>
    </w:rPr>
  </w:style>
  <w:style w:type="character" w:customStyle="1" w:styleId="WW8Num5z3">
    <w:name w:val="WW8Num5z3"/>
    <w:rPr>
      <w:rFonts w:hint="default"/>
    </w:rPr>
  </w:style>
  <w:style w:type="character" w:customStyle="1" w:styleId="WW8Num6z0">
    <w:name w:val="WW8Num6z0"/>
    <w:rPr>
      <w:rFonts w:ascii="Palatino Linotype" w:hAnsi="Palatino Linotype" w:cs="Palatino Linotype"/>
      <w:b w:val="0"/>
      <w:sz w:val="22"/>
      <w:szCs w:val="2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Palatino Linotype" w:hAnsi="Palatino Linotype" w:cs="Palatino Linotype"/>
      <w:sz w:val="22"/>
      <w:szCs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  <w:rPr>
      <w:rFonts w:hint="default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Palatino Linotype" w:hAnsi="Palatino Linotype" w:cs="Palatino Linotype"/>
      <w:sz w:val="22"/>
      <w:szCs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Palatino Linotype" w:hAnsi="Palatino Linotype" w:cs="Palatino Linotype" w:hint="default"/>
      <w:bCs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  <w:b/>
      <w:i w:val="0"/>
    </w:rPr>
  </w:style>
  <w:style w:type="character" w:customStyle="1" w:styleId="WW8Num14z2">
    <w:name w:val="WW8Num14z2"/>
    <w:rPr>
      <w:rFonts w:ascii="Palatino Linotype" w:hAnsi="Palatino Linotype" w:cs="Palatino Linotype" w:hint="default"/>
      <w:sz w:val="22"/>
      <w:szCs w:val="22"/>
    </w:rPr>
  </w:style>
  <w:style w:type="character" w:customStyle="1" w:styleId="WW8Num14z3">
    <w:name w:val="WW8Num14z3"/>
    <w:rPr>
      <w:rFonts w:ascii="Palatino Linotype" w:hAnsi="Palatino Linotype" w:cs="Palatino Linotype" w:hint="default"/>
      <w:sz w:val="22"/>
      <w:szCs w:val="22"/>
    </w:rPr>
  </w:style>
  <w:style w:type="character" w:customStyle="1" w:styleId="WW8Num15z0">
    <w:name w:val="WW8Num15z0"/>
    <w:rPr>
      <w:rFonts w:hint="default"/>
      <w:b/>
      <w:i w:val="0"/>
    </w:rPr>
  </w:style>
  <w:style w:type="character" w:customStyle="1" w:styleId="WW8Num15z2">
    <w:name w:val="WW8Num15z2"/>
    <w:rPr>
      <w:rFonts w:ascii="Palatino Linotype" w:hAnsi="Palatino Linotype" w:cs="Palatino Linotype" w:hint="default"/>
      <w:sz w:val="22"/>
      <w:szCs w:val="22"/>
    </w:rPr>
  </w:style>
  <w:style w:type="character" w:customStyle="1" w:styleId="WW8Num15z3">
    <w:name w:val="WW8Num15z3"/>
    <w:rPr>
      <w:rFonts w:hint="default"/>
    </w:rPr>
  </w:style>
  <w:style w:type="character" w:customStyle="1" w:styleId="WW8Num16z0">
    <w:name w:val="WW8Num16z0"/>
    <w:rPr>
      <w:rFonts w:ascii="Palatino Linotype" w:hAnsi="Palatino Linotype" w:cs="Palatino Linotype" w:hint="default"/>
      <w:b w:val="0"/>
      <w:bCs w:val="0"/>
      <w:sz w:val="22"/>
      <w:szCs w:val="22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8z0">
    <w:name w:val="WW8Num18z0"/>
    <w:rPr>
      <w:rFonts w:ascii="Palatino Linotype" w:hAnsi="Palatino Linotype" w:cs="Palatino Linotype"/>
      <w:sz w:val="22"/>
      <w:szCs w:val="22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Palatino Linotype" w:hAnsi="Palatino Linotype" w:cs="Palatino Linotype" w:hint="default"/>
      <w:b w:val="0"/>
      <w:bCs w:val="0"/>
      <w:sz w:val="22"/>
      <w:szCs w:val="22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Palatino Linotype" w:hAnsi="Palatino Linotype" w:cs="Times New Roman" w:hint="default"/>
      <w:b w:val="0"/>
      <w:bCs/>
      <w:color w:val="FF0000"/>
      <w:sz w:val="22"/>
      <w:szCs w:val="22"/>
    </w:rPr>
  </w:style>
  <w:style w:type="character" w:customStyle="1" w:styleId="WW8Num22z1">
    <w:name w:val="WW8Num22z1"/>
    <w:rPr>
      <w:rFonts w:cs="Times New Roman"/>
    </w:rPr>
  </w:style>
  <w:style w:type="character" w:customStyle="1" w:styleId="WW8Num23z0">
    <w:name w:val="WW8Num23z0"/>
    <w:rPr>
      <w:rFonts w:ascii="Palatino Linotype" w:hAnsi="Palatino Linotype" w:cs="Palatino Linotype"/>
      <w:sz w:val="22"/>
      <w:szCs w:val="2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b w:val="0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Palatino Linotype" w:hAnsi="Palatino Linotype" w:cs="Palatino Linotype" w:hint="default"/>
      <w:b w:val="0"/>
      <w:i w:val="0"/>
      <w:sz w:val="22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Palatino Linotype" w:hAnsi="Palatino Linotype" w:cs="Palatino Linotype" w:hint="default"/>
      <w:b w:val="0"/>
      <w:i w:val="0"/>
      <w:sz w:val="22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  <w:rPr>
      <w:rFonts w:ascii="Palatino Linotype" w:hAnsi="Palatino Linotype" w:cs="Palatino Linotype" w:hint="default"/>
      <w:sz w:val="22"/>
      <w:szCs w:val="22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Palatino Linotype" w:hAnsi="Palatino Linotype" w:cs="Palatino Linotype"/>
      <w:sz w:val="22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Palatino Linotype" w:hAnsi="Palatino Linotype" w:cs="Palatino Linotype"/>
      <w:sz w:val="22"/>
      <w:szCs w:val="22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  <w:b/>
      <w:i w:val="0"/>
    </w:rPr>
  </w:style>
  <w:style w:type="character" w:customStyle="1" w:styleId="WW8Num36z2">
    <w:name w:val="WW8Num36z2"/>
    <w:rPr>
      <w:rFonts w:ascii="Palatino Linotype" w:hAnsi="Palatino Linotype" w:cs="Palatino Linotype" w:hint="default"/>
      <w:sz w:val="22"/>
      <w:szCs w:val="22"/>
    </w:rPr>
  </w:style>
  <w:style w:type="character" w:customStyle="1" w:styleId="WW8Num37z0">
    <w:name w:val="WW8Num37z0"/>
    <w:rPr>
      <w:rFonts w:hint="default"/>
      <w:b/>
      <w:i w:val="0"/>
    </w:rPr>
  </w:style>
  <w:style w:type="character" w:customStyle="1" w:styleId="WW8Num37z2">
    <w:name w:val="WW8Num37z2"/>
    <w:rPr>
      <w:rFonts w:ascii="Palatino Linotype" w:hAnsi="Palatino Linotype" w:cs="Palatino Linotype" w:hint="default"/>
      <w:sz w:val="22"/>
      <w:szCs w:val="22"/>
    </w:rPr>
  </w:style>
  <w:style w:type="character" w:customStyle="1" w:styleId="WW8Num38z0">
    <w:name w:val="WW8Num38z0"/>
    <w:rPr>
      <w:rFonts w:ascii="Palatino Linotype" w:hAnsi="Palatino Linotype" w:cs="Palatino Linotype" w:hint="default"/>
      <w:b w:val="0"/>
      <w:i w:val="0"/>
      <w:sz w:val="22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cs="Times New Roman"/>
      <w:strike w:val="0"/>
      <w:dstrike w:val="0"/>
    </w:rPr>
  </w:style>
  <w:style w:type="character" w:customStyle="1" w:styleId="WW8Num40z1">
    <w:name w:val="WW8Num40z1"/>
    <w:rPr>
      <w:rFonts w:cs="Times New Roman"/>
    </w:rPr>
  </w:style>
  <w:style w:type="character" w:customStyle="1" w:styleId="WW8Num41z0">
    <w:name w:val="WW8Num41z0"/>
    <w:rPr>
      <w:rFonts w:ascii="Symbol" w:hAnsi="Symbol" w:cs="Times New Roman" w:hint="default"/>
    </w:rPr>
  </w:style>
  <w:style w:type="character" w:customStyle="1" w:styleId="WW8Num41z1">
    <w:name w:val="WW8Num41z1"/>
    <w:rPr>
      <w:rFonts w:ascii="Courier New" w:hAnsi="Courier New" w:cs="Courier New" w:hint="default"/>
    </w:rPr>
  </w:style>
  <w:style w:type="character" w:customStyle="1" w:styleId="WW8Num41z2">
    <w:name w:val="WW8Num41z2"/>
    <w:rPr>
      <w:rFonts w:ascii="Wingdings" w:hAnsi="Wingdings" w:cs="Wingdings" w:hint="default"/>
    </w:rPr>
  </w:style>
  <w:style w:type="character" w:customStyle="1" w:styleId="WW8Num41z3">
    <w:name w:val="WW8Num41z3"/>
    <w:rPr>
      <w:rFonts w:ascii="Symbol" w:hAnsi="Symbol" w:cs="Symbol" w:hint="default"/>
    </w:rPr>
  </w:style>
  <w:style w:type="character" w:customStyle="1" w:styleId="WW8Num42z0">
    <w:name w:val="WW8Num42z0"/>
    <w:rPr>
      <w:rFonts w:ascii="Palatino Linotype" w:hAnsi="Palatino Linotype" w:cs="Palatino Linotype" w:hint="default"/>
      <w:b w:val="0"/>
      <w:i w:val="0"/>
      <w:sz w:val="22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rFonts w:ascii="Palatino Linotype" w:hAnsi="Palatino Linotype" w:cs="Palatino Linotype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Palatino Linotype" w:hAnsi="Palatino Linotype" w:cs="Palatino Linotype"/>
      <w:sz w:val="22"/>
      <w:szCs w:val="22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Palatino Linotype" w:hAnsi="Palatino Linotype" w:cs="Palatino Linotype"/>
      <w:sz w:val="22"/>
      <w:szCs w:val="22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2Znak">
    <w:name w:val="Nagłówek 2 Znak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Arial" w:eastAsia="Times New Roman" w:hAnsi="Arial" w:cs="Arial"/>
      <w:b/>
      <w:bCs/>
      <w:sz w:val="26"/>
      <w:szCs w:val="26"/>
    </w:rPr>
  </w:style>
  <w:style w:type="character" w:customStyle="1" w:styleId="Gasstyl1">
    <w:name w:val="Gas_styl1"/>
    <w:rPr>
      <w:rFonts w:ascii="Century Gothic" w:hAnsi="Century Gothic" w:cs="Century Gothic"/>
      <w:sz w:val="20"/>
      <w:szCs w:val="20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FontStyle74">
    <w:name w:val="Font Style74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Tekstpodstawowywcity2Znak">
    <w:name w:val="Tekst podstawowy wcięty 2 Znak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PodtytuZnak">
    <w:name w:val="Podtytuł Znak"/>
    <w:rPr>
      <w:rFonts w:ascii="Cambria" w:eastAsia="Times New Roman" w:hAnsi="Cambria" w:cs="Times New Roman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</w:style>
  <w:style w:type="paragraph" w:styleId="Stopka">
    <w:name w:val="footer"/>
    <w:basedOn w:val="Normalny"/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Poziom1">
    <w:name w:val="Poziom 1"/>
    <w:basedOn w:val="Normalny"/>
    <w:pPr>
      <w:spacing w:before="120" w:after="120"/>
    </w:pPr>
    <w:rPr>
      <w:sz w:val="28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spacing w:before="120" w:after="120"/>
      <w:ind w:left="708"/>
      <w:jc w:val="both"/>
    </w:pPr>
    <w:rPr>
      <w:rFonts w:ascii="Bookman Old Style" w:hAnsi="Bookman Old Style" w:cs="Bookman Old Style"/>
    </w:rPr>
  </w:style>
  <w:style w:type="paragraph" w:customStyle="1" w:styleId="Tekstpodstawowywcity21">
    <w:name w:val="Tekst podstawowy wcięty 21"/>
    <w:basedOn w:val="Normalny"/>
    <w:pPr>
      <w:ind w:left="708"/>
      <w:jc w:val="both"/>
    </w:pPr>
    <w:rPr>
      <w:szCs w:val="20"/>
    </w:rPr>
  </w:style>
  <w:style w:type="paragraph" w:styleId="Spistreci2">
    <w:name w:val="toc 2"/>
    <w:basedOn w:val="Normalny"/>
    <w:next w:val="Normalny"/>
    <w:pPr>
      <w:tabs>
        <w:tab w:val="right" w:leader="dot" w:pos="9613"/>
      </w:tabs>
      <w:ind w:left="240"/>
    </w:pPr>
    <w:rPr>
      <w:rFonts w:ascii="Palatino Linotype" w:hAnsi="Palatino Linotype" w:cs="Palatino Linotype"/>
      <w:smallCaps/>
      <w:sz w:val="16"/>
      <w:szCs w:val="20"/>
      <w:lang w:val="pl-PL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styleId="Podtytu">
    <w:name w:val="Subtitle"/>
    <w:basedOn w:val="Normalny"/>
    <w:next w:val="Normalny"/>
    <w:qFormat/>
    <w:pPr>
      <w:spacing w:after="60"/>
      <w:jc w:val="center"/>
    </w:pPr>
    <w:rPr>
      <w:rFonts w:ascii="Cambria" w:hAnsi="Cambria" w:cs="Cambria"/>
    </w:rPr>
  </w:style>
  <w:style w:type="paragraph" w:styleId="Spistreci1">
    <w:name w:val="toc 1"/>
    <w:basedOn w:val="Normalny"/>
    <w:next w:val="Normalny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styleId="Spistreci3">
    <w:name w:val="toc 3"/>
    <w:basedOn w:val="Normalny"/>
    <w:next w:val="Normalny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Nagwekspisutreci">
    <w:name w:val="TOC Heading"/>
    <w:basedOn w:val="Nagwek1"/>
    <w:next w:val="Normalny"/>
    <w:qFormat/>
    <w:pPr>
      <w:keepLines/>
      <w:numPr>
        <w:numId w:val="0"/>
      </w:numPr>
      <w:spacing w:before="480" w:after="0" w:line="276" w:lineRule="auto"/>
      <w:jc w:val="left"/>
    </w:pPr>
    <w:rPr>
      <w:rFonts w:ascii="Cambria" w:hAnsi="Cambria"/>
      <w:bCs/>
      <w:color w:val="365F91"/>
      <w:sz w:val="28"/>
      <w:szCs w:val="28"/>
    </w:rPr>
  </w:style>
  <w:style w:type="paragraph" w:styleId="Spistreci4">
    <w:name w:val="toc 4"/>
    <w:basedOn w:val="Normalny"/>
    <w:next w:val="Normalny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pPr>
      <w:ind w:left="1920"/>
    </w:pPr>
    <w:rPr>
      <w:rFonts w:ascii="Calibri" w:hAnsi="Calibri" w:cs="Calibri"/>
      <w:sz w:val="18"/>
      <w:szCs w:val="18"/>
    </w:rPr>
  </w:style>
  <w:style w:type="paragraph" w:styleId="Poprawka">
    <w:name w:val="Revision"/>
    <w:pPr>
      <w:suppressAutoHyphens/>
    </w:pPr>
    <w:rPr>
      <w:sz w:val="24"/>
      <w:szCs w:val="24"/>
      <w:lang w:eastAsia="ar-SA"/>
    </w:rPr>
  </w:style>
  <w:style w:type="paragraph" w:styleId="Tekstpodstawowywcity">
    <w:name w:val="Body Text Indent"/>
    <w:basedOn w:val="Normalny"/>
    <w:pPr>
      <w:ind w:left="4956"/>
      <w:jc w:val="both"/>
    </w:pPr>
    <w:rPr>
      <w:rFonts w:ascii="Arial" w:hAnsi="Arial" w:cs="Arial"/>
      <w:b/>
      <w:sz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3452</Words>
  <Characters>20718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archiwalna tradycyjna</vt:lpstr>
    </vt:vector>
  </TitlesOfParts>
  <Company>Hewlett-Packard</Company>
  <LinksUpToDate>false</LinksUpToDate>
  <CharactersWithSpaces>24122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archiwalna tradycyjna</dc:title>
  <dc:creator>Ewa Perłakowska;Małgorzata Najduch;Tomasz Jasiówka</dc:creator>
  <cp:lastModifiedBy>Julia Fujarska</cp:lastModifiedBy>
  <cp:revision>2</cp:revision>
  <cp:lastPrinted>2014-03-05T15:09:00Z</cp:lastPrinted>
  <dcterms:created xsi:type="dcterms:W3CDTF">2019-02-01T20:13:00Z</dcterms:created>
  <dcterms:modified xsi:type="dcterms:W3CDTF">2019-02-01T20:13:00Z</dcterms:modified>
</cp:coreProperties>
</file>