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12"/>
        <w:jc w:val="right"/>
        <w:rPr>
          <w:rFonts w:ascii="Arial" w:hAnsi="Arial" w:cs="Arial"/>
        </w:rPr>
      </w:pPr>
      <w:r>
        <w:rPr>
          <w:rFonts w:cs="Arial" w:ascii="Arial" w:hAnsi="Arial"/>
        </w:rPr>
        <w:t>Załącznik do Zarządzenia nr 12/2019/2020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 xml:space="preserve"> </w:t>
      </w:r>
      <w:r>
        <w:rPr>
          <w:rFonts w:cs="Arial" w:ascii="Arial" w:hAnsi="Arial"/>
          <w:b/>
          <w:sz w:val="32"/>
          <w:szCs w:val="32"/>
        </w:rPr>
        <w:t xml:space="preserve">Regulamin wynagradzania 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pracowników samorządowych zatrudnionych</w:t>
      </w:r>
    </w:p>
    <w:p>
      <w:pPr>
        <w:pStyle w:val="Normal"/>
        <w:tabs>
          <w:tab w:val="clear" w:pos="708"/>
          <w:tab w:val="left" w:pos="840" w:leader="none"/>
          <w:tab w:val="center" w:pos="4536" w:leader="none"/>
        </w:tabs>
        <w:spacing w:lineRule="auto" w:line="312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w Szkole Podstawowej nr 46 im.S.Żeromskiego w Częstochowie </w:t>
      </w:r>
    </w:p>
    <w:p>
      <w:pPr>
        <w:pStyle w:val="Normal"/>
        <w:spacing w:lineRule="auto" w:line="312" w:before="240" w:after="0"/>
        <w:ind w:left="225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Podstawę prawną ustalania Regulaminu wynagradzania stanowią przepisy:</w:t>
      </w:r>
    </w:p>
    <w:p>
      <w:pPr>
        <w:pStyle w:val="Standardowy1"/>
        <w:numPr>
          <w:ilvl w:val="0"/>
          <w:numId w:val="4"/>
        </w:numPr>
        <w:tabs>
          <w:tab w:val="clear" w:pos="708"/>
        </w:tabs>
        <w:spacing w:lineRule="auto" w:line="312" w:before="240" w:after="0"/>
        <w:ind w:left="426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Ustawa z dnia 26 czerwca 1974 r. Kodeks Pracy (j.t. Dz. U. z 2019 poz 1040),</w:t>
      </w:r>
    </w:p>
    <w:p>
      <w:pPr>
        <w:pStyle w:val="Standardowy1"/>
        <w:numPr>
          <w:ilvl w:val="0"/>
          <w:numId w:val="4"/>
        </w:numPr>
        <w:tabs>
          <w:tab w:val="clear" w:pos="708"/>
        </w:tabs>
        <w:spacing w:lineRule="auto" w:line="312" w:before="240" w:after="0"/>
        <w:ind w:left="426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Ustawa z 21 listopada 2008 r. o pracownikach samorządowych (j.t. Dz. U. z 2019 r. poz. 1282)</w:t>
      </w:r>
    </w:p>
    <w:p>
      <w:pPr>
        <w:pStyle w:val="Standardowy1"/>
        <w:numPr>
          <w:ilvl w:val="0"/>
          <w:numId w:val="4"/>
        </w:numPr>
        <w:tabs>
          <w:tab w:val="clear" w:pos="708"/>
        </w:tabs>
        <w:spacing w:lineRule="auto" w:line="312" w:before="240" w:after="0"/>
        <w:ind w:left="426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Rozporządzenie Rady Ministrów z dnia 15 maja 2018 w sprawie wynagradzania pracowników samorządowych (Dz. U. z 2018 r. poz. 936)</w:t>
      </w:r>
    </w:p>
    <w:p>
      <w:pPr>
        <w:pStyle w:val="Standardowy1"/>
        <w:numPr>
          <w:ilvl w:val="0"/>
          <w:numId w:val="4"/>
        </w:numPr>
        <w:tabs>
          <w:tab w:val="clear" w:pos="708"/>
        </w:tabs>
        <w:spacing w:lineRule="auto" w:line="312" w:before="240" w:after="0"/>
        <w:ind w:left="426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Ustawa z dnia 12 grudnia 1997 r. o dodatkowym wynagrodzeniu rocznym dla pracowników jednostek sfery budżetowej (j.t. Dz. U. z 2018 r. poz. 1872)</w:t>
      </w:r>
    </w:p>
    <w:p>
      <w:pPr>
        <w:pStyle w:val="Standardowy1"/>
        <w:numPr>
          <w:ilvl w:val="0"/>
          <w:numId w:val="4"/>
        </w:numPr>
        <w:tabs>
          <w:tab w:val="clear" w:pos="708"/>
        </w:tabs>
        <w:spacing w:lineRule="auto" w:line="312" w:before="240" w:after="0"/>
        <w:ind w:left="426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Ustawa z dnia 23 maja 1991 r. o związkach zawodowych (j.t. Dz. U. z 2019 r. poz. 263).</w:t>
      </w:r>
    </w:p>
    <w:p>
      <w:pPr>
        <w:pStyle w:val="Normal"/>
        <w:spacing w:lineRule="auto" w:line="312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jc w:val="center"/>
        <w:rPr>
          <w:rFonts w:ascii="Arial" w:hAnsi="Arial" w:cs="Arial"/>
        </w:rPr>
      </w:pPr>
      <w:r>
        <w:rPr>
          <w:rFonts w:cs="Arial" w:ascii="Arial" w:hAnsi="Arial"/>
          <w:b/>
          <w:bCs/>
        </w:rPr>
        <w:t>§ 1.</w:t>
      </w:r>
    </w:p>
    <w:p>
      <w:pPr>
        <w:pStyle w:val="Normal"/>
        <w:spacing w:lineRule="auto" w:line="312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</w:rPr>
        <w:t xml:space="preserve">Niniejszy regulamin, zwany dalej regulaminem wynagradzania, ustala zasady </w:t>
        <w:br/>
        <w:t>i warunki wynagradzania za pracę i przyznawania innych świadczeń wynikających ze stosunku  pracy.</w:t>
      </w:r>
    </w:p>
    <w:p>
      <w:pPr>
        <w:pStyle w:val="Normal"/>
        <w:spacing w:lineRule="auto" w:line="312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312"/>
        <w:ind w:left="720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2.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Ilekroć w regulaminie jest mowa o:</w:t>
      </w:r>
    </w:p>
    <w:p>
      <w:pPr>
        <w:pStyle w:val="Normal"/>
        <w:numPr>
          <w:ilvl w:val="0"/>
          <w:numId w:val="3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pracownikach – rozumie się przez to pracowników samorządowych zatrudnionych w Szkole Podstawowej nr 46 im. S.Żeromskiego w Częstochowie na podstawie umowy o pracę,</w:t>
      </w:r>
    </w:p>
    <w:p>
      <w:pPr>
        <w:pStyle w:val="Normal"/>
        <w:numPr>
          <w:ilvl w:val="0"/>
          <w:numId w:val="3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zakładowej organizacji związkowej – rozumie się przez to związek zawodowy lub jednostkę organizacyjną związku zawodowego działające w Szkole Podstawowej nr 46 im. S.Żeromskiego w Częstochowie, którym przysługują uprawnienia zakładowej organizacji związkowej.</w:t>
      </w:r>
    </w:p>
    <w:p>
      <w:pPr>
        <w:pStyle w:val="Normal"/>
        <w:spacing w:lineRule="auto" w:line="312"/>
        <w:ind w:left="360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3.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Pracownikom z tytułu zatrudnienia przysługuje:</w:t>
      </w:r>
    </w:p>
    <w:p>
      <w:pPr>
        <w:pStyle w:val="Normal"/>
        <w:numPr>
          <w:ilvl w:val="0"/>
          <w:numId w:val="9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wynagrodzenie  zasadnicze, dodatek za wieloletnią pracę, </w:t>
      </w:r>
    </w:p>
    <w:p>
      <w:pPr>
        <w:pStyle w:val="Normal"/>
        <w:numPr>
          <w:ilvl w:val="0"/>
          <w:numId w:val="9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nagroda jubileuszowa oraz jednorazowa odprawa pieniężna w związku z przejściem na emeryturę lub rentę z tytułu niezdolności do pracy, </w:t>
      </w:r>
    </w:p>
    <w:p>
      <w:pPr>
        <w:pStyle w:val="Normal"/>
        <w:numPr>
          <w:ilvl w:val="0"/>
          <w:numId w:val="9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dodatek funkcyjny, dodatek specjalny, premia oraz nagroda za szczególne osiągnięcia w pracy zawodowej, </w:t>
      </w:r>
    </w:p>
    <w:p>
      <w:pPr>
        <w:pStyle w:val="Normal"/>
        <w:numPr>
          <w:ilvl w:val="0"/>
          <w:numId w:val="9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dodatkowe wynagrodzenie roczne – na podstawie ustawy o dodatkowym wynagrodzeniu rocznym dla pracowników jednostek sfery budżetowej ,</w:t>
      </w:r>
    </w:p>
    <w:p>
      <w:pPr>
        <w:pStyle w:val="Normal"/>
        <w:numPr>
          <w:ilvl w:val="0"/>
          <w:numId w:val="9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dodatkowe wynagrodzenie za pracę: w porze nocnej, w godzinach nadliczbowych, w niedziele i święta ,</w:t>
      </w:r>
    </w:p>
    <w:p>
      <w:pPr>
        <w:pStyle w:val="Normal"/>
        <w:numPr>
          <w:ilvl w:val="0"/>
          <w:numId w:val="9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odprawa pieniężna w związku z rozwiązaniem stosunku pracy, </w:t>
      </w:r>
    </w:p>
    <w:p>
      <w:pPr>
        <w:pStyle w:val="Normal"/>
        <w:numPr>
          <w:ilvl w:val="0"/>
          <w:numId w:val="9"/>
        </w:numPr>
        <w:spacing w:lineRule="auto" w:line="312"/>
        <w:ind w:left="714" w:hanging="357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wynagrodzenie za czas niezdolności do pracy, </w:t>
      </w:r>
    </w:p>
    <w:p>
      <w:pPr>
        <w:pStyle w:val="Normal"/>
        <w:numPr>
          <w:ilvl w:val="0"/>
          <w:numId w:val="9"/>
        </w:numPr>
        <w:spacing w:lineRule="auto" w:line="312"/>
        <w:ind w:left="714" w:hanging="357"/>
        <w:jc w:val="both"/>
        <w:rPr>
          <w:rFonts w:ascii="Arial" w:hAnsi="Arial" w:cs="Arial"/>
        </w:rPr>
      </w:pPr>
      <w:r>
        <w:rPr>
          <w:rFonts w:cs="Arial" w:ascii="Arial" w:hAnsi="Arial"/>
        </w:rPr>
        <w:t>świadczenia pieniężne z ubezpieczenia społecznego w razie choroby i macierzyństwa, obejmujące: zasiłek chorobowy, świadczenie rehabilitacyjne, zasiłek wyrównawczy, zasiłek macierzyński, zasiłek opiekuńczy.</w:t>
      </w:r>
    </w:p>
    <w:p>
      <w:pPr>
        <w:pStyle w:val="Normal"/>
        <w:spacing w:lineRule="auto" w:line="312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4.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Wynagrodzenie pracownika zatrudnionego w pełnym wymiarze czasu pracy nie może być niższe od wynagrodzenia, ustalonego na podstawie ustawy z dnia</w:t>
        <w:br/>
        <w:t>10 października 2002 r. o minimalnym wynagrodzeniu za pracę (j.t. Dz. U. z 2018 r., poz. 2177 z późn. zm.).</w:t>
      </w:r>
    </w:p>
    <w:p>
      <w:pPr>
        <w:pStyle w:val="Normal"/>
        <w:spacing w:lineRule="auto" w:line="312"/>
        <w:jc w:val="center"/>
        <w:rPr>
          <w:rFonts w:ascii="Arial" w:hAnsi="Arial" w:eastAsia="MS Mincho" w:cs="Arial"/>
          <w:b/>
          <w:b/>
        </w:rPr>
      </w:pPr>
      <w:r>
        <w:rPr>
          <w:rFonts w:eastAsia="MS Mincho" w:cs="Arial" w:ascii="Arial" w:hAnsi="Arial"/>
          <w:b/>
        </w:rPr>
        <w:t>§ 5.</w:t>
      </w:r>
    </w:p>
    <w:p>
      <w:pPr>
        <w:pStyle w:val="Normal"/>
        <w:numPr>
          <w:ilvl w:val="0"/>
          <w:numId w:val="10"/>
        </w:numPr>
        <w:spacing w:lineRule="auto" w:line="312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Wynagrodzenie zasadnicze pracownika określone jest stosownie do zajmowanego stanowiska i posiadanych kwalifikacji zawodowych. </w:t>
      </w:r>
    </w:p>
    <w:p>
      <w:pPr>
        <w:pStyle w:val="Normal"/>
        <w:numPr>
          <w:ilvl w:val="0"/>
          <w:numId w:val="10"/>
        </w:numPr>
        <w:spacing w:lineRule="auto" w:line="312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Minimalny i maksymalny poziom wynagrodzenia zasadniczego dla poszczególnych kategorii zaszeregowania przedstawia tabela miesięcznych stawek wynagrodzenia zasadniczego stanowiąca załącznik nr 1 do niniejszego regulaminu. </w:t>
      </w:r>
    </w:p>
    <w:p>
      <w:pPr>
        <w:pStyle w:val="Normal"/>
        <w:numPr>
          <w:ilvl w:val="0"/>
          <w:numId w:val="10"/>
        </w:numPr>
        <w:suppressAutoHyphens w:val="true"/>
        <w:spacing w:lineRule="auto" w:line="312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>
        <w:rPr>
          <w:rFonts w:cs="Arial" w:ascii="Arial" w:hAnsi="Arial"/>
          <w:i/>
        </w:rPr>
        <w:t>załącznik nr 2</w:t>
      </w:r>
      <w:r>
        <w:rPr>
          <w:rFonts w:cs="Arial" w:ascii="Arial" w:hAnsi="Arial"/>
        </w:rPr>
        <w:t xml:space="preserve"> do niniejszego regulaminu.</w:t>
      </w:r>
    </w:p>
    <w:p>
      <w:pPr>
        <w:pStyle w:val="Normal"/>
        <w:numPr>
          <w:ilvl w:val="0"/>
          <w:numId w:val="10"/>
        </w:numPr>
        <w:suppressAutoHyphens w:val="true"/>
        <w:spacing w:lineRule="auto" w:line="312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</w:rPr>
        <w:t>Zatrudnienie w niepełnym wymiarze czasu pracy skutkuje ustaleniem wynagrodzenia miesięcznego w wysokości proporcjonalnej do ustalonego w umowie wymiaru czasu pracy.</w:t>
      </w:r>
    </w:p>
    <w:p>
      <w:pPr>
        <w:pStyle w:val="Normal"/>
        <w:numPr>
          <w:ilvl w:val="0"/>
          <w:numId w:val="10"/>
        </w:numPr>
        <w:spacing w:lineRule="auto" w:line="312"/>
        <w:ind w:left="284" w:hanging="284"/>
        <w:jc w:val="both"/>
        <w:rPr>
          <w:rFonts w:ascii="Arial" w:hAnsi="Arial" w:cs="Arial"/>
          <w:iCs/>
        </w:rPr>
      </w:pPr>
      <w:r>
        <w:rPr>
          <w:rFonts w:cs="Arial" w:ascii="Arial" w:hAnsi="Arial"/>
          <w:iCs/>
        </w:rPr>
        <w:t>Pracownikowi zatrudnionemu na stanowisku głównego księgowego przysługuje dodatek funkcyjny w wysokości od 10</w:t>
      </w:r>
      <w:r>
        <w:rPr>
          <w:rFonts w:cs="Arial" w:ascii="Arial" w:hAnsi="Arial"/>
          <w:iCs/>
          <w:color w:val="FF0000"/>
        </w:rPr>
        <w:t xml:space="preserve"> </w:t>
      </w:r>
      <w:r>
        <w:rPr>
          <w:rFonts w:cs="Arial" w:ascii="Arial" w:hAnsi="Arial"/>
          <w:iCs/>
        </w:rPr>
        <w:t>% do 30</w:t>
      </w:r>
      <w:r>
        <w:rPr>
          <w:rFonts w:cs="Arial" w:ascii="Arial" w:hAnsi="Arial"/>
          <w:iCs/>
          <w:color w:val="FF0000"/>
        </w:rPr>
        <w:t xml:space="preserve"> </w:t>
      </w:r>
      <w:r>
        <w:rPr>
          <w:rFonts w:cs="Arial" w:ascii="Arial" w:hAnsi="Arial"/>
          <w:iCs/>
        </w:rPr>
        <w:t>% wynagrodzenia zasadniczego.</w:t>
      </w:r>
    </w:p>
    <w:p>
      <w:pPr>
        <w:pStyle w:val="Normal"/>
        <w:numPr>
          <w:ilvl w:val="0"/>
          <w:numId w:val="10"/>
        </w:numPr>
        <w:spacing w:lineRule="auto" w:line="312"/>
        <w:ind w:left="284" w:hanging="284"/>
        <w:jc w:val="both"/>
        <w:rPr>
          <w:rFonts w:ascii="Arial" w:hAnsi="Arial" w:cs="Arial"/>
          <w:iCs/>
        </w:rPr>
      </w:pPr>
      <w:r>
        <w:rPr>
          <w:rFonts w:cs="Arial" w:ascii="Arial" w:hAnsi="Arial"/>
          <w:iCs/>
        </w:rPr>
        <w:t>Pracownikowi zatrudnionemu na stanowisku kierowniczym przysługuje dodatek funkcyjny w wysokości od 10 % do 30 % wynagrodzenia zasadniczego.</w:t>
      </w:r>
    </w:p>
    <w:p>
      <w:pPr>
        <w:pStyle w:val="Normal"/>
        <w:numPr>
          <w:ilvl w:val="0"/>
          <w:numId w:val="10"/>
        </w:numPr>
        <w:spacing w:lineRule="auto" w:line="312"/>
        <w:ind w:left="284" w:hanging="284"/>
        <w:jc w:val="both"/>
        <w:rPr>
          <w:rFonts w:ascii="Arial" w:hAnsi="Arial" w:cs="Arial"/>
          <w:iCs/>
        </w:rPr>
      </w:pPr>
      <w:r>
        <w:rPr>
          <w:rFonts w:cs="Arial" w:ascii="Arial" w:hAnsi="Arial"/>
          <w:iCs/>
        </w:rPr>
        <w:t>Wypłata wynagrodzenia jest dokonywana na wskazany przez pracownika rachunek płatniczy, chyba że pracownik złożył wniosek o wypłatę wynagrodzenia do rąk własnych.</w:t>
      </w:r>
    </w:p>
    <w:p>
      <w:pPr>
        <w:pStyle w:val="Normal"/>
        <w:numPr>
          <w:ilvl w:val="0"/>
          <w:numId w:val="10"/>
        </w:numPr>
        <w:spacing w:lineRule="auto" w:line="312"/>
        <w:ind w:left="360" w:hanging="284"/>
        <w:jc w:val="both"/>
        <w:rPr>
          <w:rFonts w:ascii="Arial" w:hAnsi="Arial" w:cs="Arial"/>
        </w:rPr>
      </w:pPr>
      <w:r>
        <w:rPr>
          <w:rFonts w:cs="Arial" w:ascii="Arial" w:hAnsi="Arial"/>
          <w:iCs/>
        </w:rPr>
        <w:t>Wynagrodzenie za pracę wypłaca się do ostatniego dnia danego miesiąca</w:t>
      </w:r>
      <w:r>
        <w:rPr>
          <w:rFonts w:cs="Arial" w:ascii="Arial" w:hAnsi="Arial"/>
          <w:i/>
          <w:iCs/>
          <w:sz w:val="18"/>
          <w:szCs w:val="18"/>
        </w:rPr>
        <w:t xml:space="preserve">. </w:t>
      </w:r>
      <w:r>
        <w:br w:type="page"/>
      </w:r>
    </w:p>
    <w:p>
      <w:pPr>
        <w:pStyle w:val="Normal"/>
        <w:spacing w:lineRule="auto" w:line="312"/>
        <w:ind w:left="360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6.</w:t>
      </w:r>
    </w:p>
    <w:p>
      <w:pPr>
        <w:pStyle w:val="NormalWeb"/>
        <w:numPr>
          <w:ilvl w:val="0"/>
          <w:numId w:val="11"/>
        </w:numPr>
        <w:spacing w:lineRule="auto" w:line="312" w:before="0" w:after="0"/>
        <w:ind w:left="284" w:hanging="360"/>
        <w:jc w:val="both"/>
        <w:rPr/>
      </w:pPr>
      <w:r>
        <w:rPr>
          <w:rFonts w:cs="Arial" w:ascii="Arial" w:hAnsi="Arial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r>
        <w:fldChar w:fldCharType="begin"/>
      </w:r>
      <w:r>
        <w:rPr>
          <w:rStyle w:val="ListLabel12"/>
          <w:rFonts w:cs="Arial" w:ascii="Arial" w:hAnsi="Arial"/>
        </w:rPr>
        <w:instrText> HYPERLINK "https://sip.lex.pl/" \l "/search-hypertext/16789274_art(151(8))_1?pit=2019-11-07"</w:instrText>
      </w:r>
      <w:r>
        <w:rPr>
          <w:rStyle w:val="ListLabel12"/>
          <w:rFonts w:cs="Arial" w:ascii="Arial" w:hAnsi="Arial"/>
        </w:rPr>
        <w:fldChar w:fldCharType="separate"/>
      </w:r>
      <w:r>
        <w:rPr>
          <w:rStyle w:val="ListLabel12"/>
          <w:rFonts w:cs="Arial" w:ascii="Arial" w:hAnsi="Arial"/>
        </w:rPr>
        <w:t>przepisów</w:t>
      </w:r>
      <w:r>
        <w:rPr>
          <w:rStyle w:val="ListLabel12"/>
          <w:rFonts w:cs="Arial" w:ascii="Arial" w:hAnsi="Arial"/>
        </w:rPr>
        <w:fldChar w:fldCharType="end"/>
      </w:r>
      <w:r>
        <w:rPr>
          <w:rFonts w:cs="Arial" w:ascii="Arial" w:hAnsi="Arial"/>
        </w:rPr>
        <w:t>.</w:t>
      </w:r>
    </w:p>
    <w:p>
      <w:pPr>
        <w:pStyle w:val="NormalWeb"/>
        <w:numPr>
          <w:ilvl w:val="0"/>
          <w:numId w:val="5"/>
        </w:numPr>
        <w:tabs>
          <w:tab w:val="clear" w:pos="708"/>
        </w:tabs>
        <w:spacing w:lineRule="auto" w:line="312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Za pracę w godzinach nadliczbowych - oprócz normalnego wynagrodzenia - przysługuje dodatek w wysokości:</w:t>
      </w:r>
    </w:p>
    <w:p>
      <w:pPr>
        <w:pStyle w:val="NormalWeb"/>
        <w:spacing w:lineRule="auto" w:line="312" w:before="0" w:after="0"/>
        <w:ind w:left="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1) 100 % wynagrodzenia - za pracę w godzinach nadliczbowych przypadających:</w:t>
      </w:r>
    </w:p>
    <w:p>
      <w:pPr>
        <w:pStyle w:val="NormalWeb"/>
        <w:spacing w:lineRule="auto" w:line="312" w:before="0" w:after="0"/>
        <w:ind w:firstLine="426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</w:t>
      </w:r>
      <w:r>
        <w:rPr>
          <w:rFonts w:cs="Arial" w:ascii="Arial" w:hAnsi="Arial"/>
        </w:rPr>
        <w:t>a)  w nocy,</w:t>
      </w:r>
    </w:p>
    <w:p>
      <w:pPr>
        <w:pStyle w:val="NormalWeb"/>
        <w:numPr>
          <w:ilvl w:val="0"/>
          <w:numId w:val="6"/>
        </w:numPr>
        <w:tabs>
          <w:tab w:val="clear" w:pos="708"/>
        </w:tabs>
        <w:spacing w:lineRule="auto" w:line="312" w:before="0" w:after="0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 niedziele i święta niebędące dla pracownika dniami pracy, zgodnie z obowiązującym go rozkładem czasu pracy,     </w:t>
      </w:r>
    </w:p>
    <w:p>
      <w:pPr>
        <w:pStyle w:val="NormalWeb"/>
        <w:numPr>
          <w:ilvl w:val="0"/>
          <w:numId w:val="6"/>
        </w:numPr>
        <w:tabs>
          <w:tab w:val="clear" w:pos="708"/>
        </w:tabs>
        <w:spacing w:lineRule="auto" w:line="312" w:before="0" w:after="0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 dniu wolnym od pracy udzielonym pracownikowi w zamian za pracę w niedzielę lub w święto, zgodnie z obowiązującym go rozkładem czasu pracy             </w:t>
      </w:r>
    </w:p>
    <w:p>
      <w:pPr>
        <w:pStyle w:val="NormalWeb"/>
        <w:tabs>
          <w:tab w:val="clear" w:pos="708"/>
          <w:tab w:val="left" w:pos="1440" w:leader="none"/>
        </w:tabs>
        <w:spacing w:lineRule="auto" w:line="312" w:before="0" w:after="0"/>
        <w:ind w:left="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2) 50 % wynagrodzenia - za pracę w godzinach nadliczbowych                   przypadających w każdym innym dniu niż określony w pkt 1.</w:t>
      </w:r>
    </w:p>
    <w:p>
      <w:pPr>
        <w:pStyle w:val="NormalWeb"/>
        <w:spacing w:lineRule="auto" w:line="312" w:before="0" w:after="0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3. 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>
      <w:pPr>
        <w:pStyle w:val="NormalWeb"/>
        <w:spacing w:lineRule="auto" w:line="312" w:before="0" w:after="0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</w:rPr>
        <w:t>4. Wynagrodzenie stanowiące podstawę obliczania dodatków, określonych w ust.1 i 2, obejmuje wynagrodzenie pracownika wynikające z jego osobistego zaszeregowania.</w:t>
      </w:r>
    </w:p>
    <w:p>
      <w:pPr>
        <w:pStyle w:val="Normal"/>
        <w:tabs>
          <w:tab w:val="clear" w:pos="708"/>
          <w:tab w:val="left" w:pos="383" w:leader="none"/>
        </w:tabs>
        <w:suppressAutoHyphens w:val="true"/>
        <w:spacing w:lineRule="auto" w:line="312"/>
        <w:ind w:left="284" w:hanging="261"/>
        <w:jc w:val="both"/>
        <w:rPr>
          <w:rFonts w:ascii="Arial" w:hAnsi="Arial" w:cs="Arial"/>
        </w:rPr>
      </w:pPr>
      <w:r>
        <w:rPr>
          <w:rFonts w:cs="Arial" w:ascii="Arial" w:hAnsi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>
      <w:pPr>
        <w:pStyle w:val="Normal"/>
        <w:tabs>
          <w:tab w:val="clear" w:pos="708"/>
          <w:tab w:val="left" w:pos="383" w:leader="none"/>
        </w:tabs>
        <w:suppressAutoHyphens w:val="true"/>
        <w:spacing w:lineRule="auto" w:line="312"/>
        <w:ind w:left="23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6. Dodatek za wieloletnią pracę jest wypłacany w terminie wypłaty wynagrodzenia: </w:t>
      </w:r>
    </w:p>
    <w:p>
      <w:pPr>
        <w:pStyle w:val="Default"/>
        <w:numPr>
          <w:ilvl w:val="2"/>
          <w:numId w:val="8"/>
        </w:numPr>
        <w:tabs>
          <w:tab w:val="clear" w:pos="708"/>
          <w:tab w:val="left" w:pos="567" w:leader="none"/>
        </w:tabs>
        <w:spacing w:lineRule="auto" w:line="312"/>
        <w:ind w:left="567" w:hanging="330"/>
        <w:jc w:val="both"/>
        <w:rPr>
          <w:rFonts w:ascii="Arial" w:hAnsi="Arial" w:cs="Arial"/>
          <w:color w:val="auto"/>
        </w:rPr>
      </w:pPr>
      <w:r>
        <w:rPr>
          <w:rFonts w:cs="Arial" w:ascii="Arial" w:hAnsi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>
      <w:pPr>
        <w:pStyle w:val="Default"/>
        <w:numPr>
          <w:ilvl w:val="2"/>
          <w:numId w:val="8"/>
        </w:numPr>
        <w:tabs>
          <w:tab w:val="clear" w:pos="708"/>
          <w:tab w:val="left" w:pos="567" w:leader="none"/>
        </w:tabs>
        <w:spacing w:lineRule="auto" w:line="312"/>
        <w:ind w:left="567" w:hanging="330"/>
        <w:jc w:val="both"/>
        <w:rPr>
          <w:rFonts w:ascii="Arial" w:hAnsi="Arial" w:cs="Arial"/>
          <w:color w:val="auto"/>
        </w:rPr>
      </w:pPr>
      <w:r>
        <w:rPr>
          <w:rFonts w:cs="Arial" w:ascii="Arial" w:hAnsi="Arial"/>
          <w:color w:val="auto"/>
        </w:rPr>
        <w:t xml:space="preserve">za dany miesiąc, jeżeli nabycie prawa do dodatku lub wyższej stawki dodatku nastąpiło pierwszego dnia miesiąca. </w:t>
      </w:r>
    </w:p>
    <w:p>
      <w:pPr>
        <w:pStyle w:val="Default"/>
        <w:spacing w:lineRule="auto" w:line="312"/>
        <w:ind w:left="284" w:hanging="261"/>
        <w:jc w:val="both"/>
        <w:rPr>
          <w:rFonts w:ascii="Arial" w:hAnsi="Arial" w:cs="Arial"/>
          <w:color w:val="auto"/>
        </w:rPr>
      </w:pPr>
      <w:r>
        <w:rPr>
          <w:rFonts w:cs="Arial" w:ascii="Arial" w:hAnsi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>
      <w:pPr>
        <w:pStyle w:val="Default"/>
        <w:spacing w:lineRule="auto" w:line="312"/>
        <w:ind w:left="284" w:hanging="261"/>
        <w:jc w:val="both"/>
        <w:rPr>
          <w:rFonts w:ascii="Arial" w:hAnsi="Arial" w:cs="Arial"/>
        </w:rPr>
      </w:pPr>
      <w:r>
        <w:rPr>
          <w:rFonts w:cs="Arial" w:ascii="Arial" w:hAnsi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7.</w:t>
      </w:r>
    </w:p>
    <w:p>
      <w:pPr>
        <w:pStyle w:val="Normal"/>
        <w:tabs>
          <w:tab w:val="clear" w:pos="708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1. </w:t>
        <w:tab/>
        <w:t>W ramach środków na wynagrodzenia tworzy się fundusz nagród pracowników za szczególne osiągnięcia zawodowe, zwany dalej funduszem nagród w wysokości 1% planowanego osobowego funduszu płac.</w:t>
      </w:r>
    </w:p>
    <w:p>
      <w:pPr>
        <w:pStyle w:val="Normal"/>
        <w:tabs>
          <w:tab w:val="clear" w:pos="708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</w:rPr>
      </w:pPr>
      <w:r>
        <w:rPr>
          <w:rFonts w:cs="Arial" w:ascii="Arial" w:hAnsi="Arial"/>
        </w:rPr>
        <w:t>2. Decyzję o przyznaniu nagród podejmuje dyrektor szkoły (placówki).</w:t>
      </w:r>
    </w:p>
    <w:p>
      <w:pPr>
        <w:pStyle w:val="Normal"/>
        <w:tabs>
          <w:tab w:val="clear" w:pos="708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</w:rPr>
      </w:pPr>
      <w:r>
        <w:rPr>
          <w:rFonts w:cs="Arial" w:ascii="Arial" w:hAnsi="Arial"/>
        </w:rPr>
        <w:t>3. Nagrody są przyznawane z okazji Dnia Edukacji Narodowej.</w:t>
      </w:r>
    </w:p>
    <w:p>
      <w:pPr>
        <w:pStyle w:val="Normal"/>
        <w:tabs>
          <w:tab w:val="clear" w:pos="708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</w:rPr>
      </w:pPr>
      <w:r>
        <w:rPr>
          <w:rFonts w:cs="Arial" w:ascii="Arial" w:hAnsi="Arial"/>
        </w:rPr>
        <w:t>4. Przyjmuje się następujące kryteria przyznawania nagród: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wzorowe wypełnianie obowiązków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podnoszenie wydajności oraz jakości pracy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złożoność realizowanych zadań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terminowe wykonywanie zadań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przejawianie inicjatywy w pracy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przestrzeganie przepisów i zasad bhp oraz przepisów przeciwpożarowych</w:t>
      </w:r>
    </w:p>
    <w:p>
      <w:pPr>
        <w:pStyle w:val="Normal"/>
        <w:numPr>
          <w:ilvl w:val="2"/>
          <w:numId w:val="1"/>
        </w:numPr>
        <w:tabs>
          <w:tab w:val="clear" w:pos="708"/>
          <w:tab w:val="left" w:pos="993" w:leader="none"/>
        </w:tabs>
        <w:spacing w:lineRule="auto" w:line="312"/>
        <w:ind w:left="993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podnoszenie kwalifikacji zawodowych, zgodnie z potrzebami szkoły (placówki)</w:t>
      </w:r>
    </w:p>
    <w:p>
      <w:pPr>
        <w:pStyle w:val="Normal"/>
        <w:numPr>
          <w:ilvl w:val="2"/>
          <w:numId w:val="1"/>
        </w:numPr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dbanie o dobro szkoły (placówki)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8.</w:t>
      </w:r>
    </w:p>
    <w:p>
      <w:pPr>
        <w:pStyle w:val="Default"/>
        <w:numPr>
          <w:ilvl w:val="3"/>
          <w:numId w:val="1"/>
        </w:numPr>
        <w:tabs>
          <w:tab w:val="clear" w:pos="708"/>
        </w:tabs>
        <w:spacing w:lineRule="auto" w:line="312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  <w:color w:val="auto"/>
        </w:rPr>
        <w:t>Zasady i tryb wypłaty nagród jubileuszowych oraz odpraw emerytalnych określa ustawa z dnia 21 listopada 2008 r. o pracownikach samorządowych (j.t. Dz. U. z 2019 poz. 1282) oraz rozporządzenie Rady Ministrów z dnia 15 maja 2018 r. w sprawie wynagradzania pracowników samorządowych (Dz. U. z 2018 r. poz. 936).</w:t>
      </w:r>
    </w:p>
    <w:p>
      <w:pPr>
        <w:pStyle w:val="Default"/>
        <w:numPr>
          <w:ilvl w:val="3"/>
          <w:numId w:val="1"/>
        </w:numPr>
        <w:tabs>
          <w:tab w:val="clear" w:pos="708"/>
        </w:tabs>
        <w:spacing w:lineRule="auto" w:line="312"/>
        <w:ind w:left="284" w:hanging="284"/>
        <w:jc w:val="both"/>
        <w:rPr>
          <w:rFonts w:ascii="Arial" w:hAnsi="Arial" w:cs="Arial"/>
        </w:rPr>
      </w:pPr>
      <w:r>
        <w:rPr>
          <w:rFonts w:cs="Arial" w:ascii="Arial" w:hAnsi="Arial"/>
          <w:color w:val="auto"/>
        </w:rPr>
        <w:t xml:space="preserve">Zasady i tryb wypłaty odprawy pieniężnej w związku z rozwiązaniem stosunku pracy określa ustawa </w:t>
      </w:r>
      <w:r>
        <w:rPr>
          <w:rFonts w:cs="Arial" w:ascii="Arial" w:hAnsi="Arial"/>
        </w:rPr>
        <w:t xml:space="preserve">z dnia 13 marca 2003 r. o </w:t>
      </w:r>
      <w:r>
        <w:rPr>
          <w:rFonts w:cs="Arial" w:ascii="Arial" w:hAnsi="Arial"/>
          <w:iCs/>
        </w:rPr>
        <w:t>szczególnych zasadach rozwiązywania z pracownikami stosunków pracy z przyczyn niedotyczących pracowników</w:t>
      </w:r>
      <w:r>
        <w:rPr>
          <w:rFonts w:cs="Arial" w:ascii="Arial" w:hAnsi="Arial"/>
        </w:rPr>
        <w:t xml:space="preserve">  (t.j. Dz. U. z 2018 r. poz. 1969).  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ind w:left="360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9.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</w:rPr>
      </w:pPr>
      <w:r>
        <w:rPr>
          <w:rFonts w:cs="Arial" w:ascii="Arial" w:hAnsi="Arial"/>
        </w:rPr>
        <w:t xml:space="preserve">1. W ramach środków na wynagrodzenia tworzy się fundusz premiowy naliczany w wysokości 3% </w:t>
      </w:r>
      <w:r>
        <w:rPr>
          <w:rFonts w:eastAsia="Times-Roman" w:cs="Arial" w:ascii="Arial" w:hAnsi="Arial"/>
        </w:rPr>
        <w:t>wynagrodzeń</w:t>
      </w:r>
      <w:r>
        <w:rPr>
          <w:rFonts w:eastAsia="TTE27E77E0t00" w:cs="Arial" w:ascii="Arial" w:hAnsi="Arial"/>
        </w:rPr>
        <w:t xml:space="preserve"> </w:t>
      </w:r>
      <w:r>
        <w:rPr>
          <w:rFonts w:eastAsia="Times-Roman" w:cs="Arial" w:ascii="Arial" w:hAnsi="Arial"/>
        </w:rPr>
        <w:t>zasadniczych pracowników.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</w:rPr>
      </w:pPr>
      <w:r>
        <w:rPr>
          <w:rFonts w:eastAsia="Times-Roman" w:cs="Arial" w:ascii="Arial" w:hAnsi="Arial"/>
        </w:rPr>
        <w:t>2. Podstawę</w:t>
      </w:r>
      <w:r>
        <w:rPr>
          <w:rFonts w:eastAsia="TTE27E77E0t00" w:cs="Arial" w:ascii="Arial" w:hAnsi="Arial"/>
        </w:rPr>
        <w:t xml:space="preserve"> </w:t>
      </w:r>
      <w:r>
        <w:rPr>
          <w:rFonts w:eastAsia="Times-Roman" w:cs="Arial" w:ascii="Arial" w:hAnsi="Arial"/>
        </w:rPr>
        <w:t>naliczenia funduszu premiowego na dany miesiąc stanowi kwota wypłaconych  wynagrodzeń zasadniczych w poprzednim miesiącu.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</w:rPr>
      </w:pPr>
      <w:r>
        <w:rPr>
          <w:rFonts w:eastAsia="Times-Roman" w:cs="Arial" w:ascii="Arial" w:hAnsi="Arial"/>
        </w:rPr>
        <w:t>3. Fundusz w całości przeznaczony jest na wypłatę</w:t>
      </w:r>
      <w:r>
        <w:rPr>
          <w:rFonts w:eastAsia="TTE27E77E0t00" w:cs="Arial" w:ascii="Arial" w:hAnsi="Arial"/>
        </w:rPr>
        <w:t xml:space="preserve"> </w:t>
      </w:r>
      <w:r>
        <w:rPr>
          <w:rFonts w:eastAsia="Times-Roman" w:cs="Arial" w:ascii="Arial" w:hAnsi="Arial"/>
        </w:rPr>
        <w:t>premii dla pracowników.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</w:rPr>
      </w:pPr>
      <w:r>
        <w:rPr>
          <w:rFonts w:eastAsia="Times-Roman" w:cs="Arial" w:ascii="Arial" w:hAnsi="Arial"/>
        </w:rPr>
        <w:t xml:space="preserve">4. </w:t>
      </w:r>
      <w:r>
        <w:rPr>
          <w:rFonts w:eastAsia="Times-Roman" w:cs="Arial" w:ascii="Arial" w:hAnsi="Arial"/>
          <w:color w:val="000000"/>
        </w:rPr>
        <w:t xml:space="preserve">Pracownikom, może zostać przyznana premia za szczególne osiągnięcia w pracy. </w:t>
      </w:r>
      <w:r>
        <w:rPr>
          <w:rFonts w:cs="Arial" w:ascii="Arial" w:hAnsi="Arial"/>
        </w:rPr>
        <w:t>Decyzję o przyznaniu premii podejmuje dyrektor szkoły (placówki)</w:t>
      </w:r>
      <w:r>
        <w:rPr>
          <w:rFonts w:eastAsia="Times-Roman" w:cs="Arial" w:ascii="Arial" w:hAnsi="Arial"/>
        </w:rPr>
        <w:t>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</w:rPr>
      </w:pPr>
      <w:r>
        <w:rPr>
          <w:rFonts w:eastAsia="Times-Roman" w:cs="Arial" w:ascii="Arial" w:hAnsi="Arial"/>
        </w:rPr>
        <w:t>5. Premia naliczana i wypłacana jest przez pracodawc</w:t>
      </w:r>
      <w:r>
        <w:rPr>
          <w:rFonts w:eastAsia="TTE27E77E0t00" w:cs="Arial" w:ascii="Arial" w:hAnsi="Arial"/>
        </w:rPr>
        <w:t>ę</w:t>
      </w:r>
      <w:r>
        <w:rPr>
          <w:rFonts w:eastAsia="Times-Roman" w:cs="Arial" w:ascii="Arial" w:hAnsi="Arial"/>
        </w:rPr>
        <w:t xml:space="preserve">. Pracownicy nie mają   </w:t>
      </w:r>
      <w:r>
        <w:rPr>
          <w:rFonts w:eastAsia="TTE27E77E0t00" w:cs="Arial" w:ascii="Arial" w:hAnsi="Arial"/>
        </w:rPr>
        <w:t xml:space="preserve"> </w:t>
      </w:r>
      <w:r>
        <w:rPr>
          <w:rFonts w:eastAsia="Times-Roman" w:cs="Arial" w:ascii="Arial" w:hAnsi="Arial"/>
        </w:rPr>
        <w:t>obowiązku indywidualnego składania wniosku o przyznanie premii.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</w:rPr>
      </w:pPr>
      <w:r>
        <w:rPr>
          <w:rFonts w:eastAsia="Times-Roman" w:cs="Arial" w:ascii="Arial" w:hAnsi="Arial"/>
        </w:rPr>
        <w:t>6. Premia jest wypłacana z dołu, w okresach miesi</w:t>
      </w:r>
      <w:r>
        <w:rPr>
          <w:rFonts w:eastAsia="TTE27E77E0t00" w:cs="Arial" w:ascii="Arial" w:hAnsi="Arial"/>
        </w:rPr>
        <w:t>ę</w:t>
      </w:r>
      <w:r>
        <w:rPr>
          <w:rFonts w:eastAsia="Times-Roman" w:cs="Arial" w:ascii="Arial" w:hAnsi="Arial"/>
        </w:rPr>
        <w:t>cznych, w terminie wypłat    wynagrodzenia za pracę.</w:t>
      </w:r>
    </w:p>
    <w:p>
      <w:pPr>
        <w:pStyle w:val="Normal"/>
        <w:spacing w:lineRule="auto" w:line="312"/>
        <w:ind w:left="360" w:hanging="36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10.</w:t>
      </w:r>
    </w:p>
    <w:p>
      <w:pPr>
        <w:pStyle w:val="Normal"/>
        <w:spacing w:lineRule="auto" w:line="312"/>
        <w:ind w:left="360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1. Pracownikowi, któremu pracodawca okresowo zwiększa obowiązki służbowe lub powierza dodatkowe zadania, jest przyznawany dodatek specjalny w wysokości co najmniej 10</w:t>
      </w:r>
      <w:r>
        <w:rPr>
          <w:rFonts w:cs="Arial" w:ascii="Arial" w:hAnsi="Arial"/>
          <w:color w:val="FF0000"/>
        </w:rPr>
        <w:t xml:space="preserve"> </w:t>
      </w:r>
      <w:r>
        <w:rPr>
          <w:rFonts w:cs="Arial" w:ascii="Arial" w:hAnsi="Arial"/>
        </w:rPr>
        <w:t>% i nie przekraczającej 40 % przysługującego mu wynagrodzenia zasadniczego.</w:t>
      </w:r>
    </w:p>
    <w:p>
      <w:pPr>
        <w:pStyle w:val="Normal"/>
        <w:spacing w:lineRule="auto" w:line="312"/>
        <w:ind w:left="360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2. W szczególnie uzasadnionych przypadkach dodatek specjalny może być przyznany w wyższej wysokości niż wysokość określona w ust. 1.</w:t>
      </w:r>
    </w:p>
    <w:p>
      <w:pPr>
        <w:pStyle w:val="Normal"/>
        <w:numPr>
          <w:ilvl w:val="0"/>
          <w:numId w:val="5"/>
        </w:numPr>
        <w:spacing w:lineRule="auto" w:line="312"/>
        <w:ind w:left="360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Dodatek specjalny przysługuje za czas urlopu i podlega wliczeniu do podstawy wynagrodzenia urlopowego w kwocie przysługującej pracownikowi w miesiącu wykorzystania urlopu.</w:t>
      </w:r>
    </w:p>
    <w:p>
      <w:pPr>
        <w:pStyle w:val="Normal"/>
        <w:numPr>
          <w:ilvl w:val="0"/>
          <w:numId w:val="5"/>
        </w:numPr>
        <w:spacing w:lineRule="auto" w:line="312"/>
        <w:ind w:left="360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  <w:t>Dodatek specjalny nie przysługuje za czas choroby natomiast jest wliczany do podstawy zasiłkowej w kwocie uzupełnionej.</w:t>
      </w:r>
    </w:p>
    <w:p>
      <w:pPr>
        <w:pStyle w:val="Normal"/>
        <w:spacing w:lineRule="auto" w:line="312"/>
        <w:ind w:left="360" w:hanging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ind w:left="360" w:hanging="36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11.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 (tj. Dz. U. z 2018 r. poz. 1872)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12.</w:t>
      </w:r>
    </w:p>
    <w:p>
      <w:pPr>
        <w:pStyle w:val="NormalWeb"/>
        <w:numPr>
          <w:ilvl w:val="0"/>
          <w:numId w:val="7"/>
        </w:numPr>
        <w:tabs>
          <w:tab w:val="clear" w:pos="708"/>
          <w:tab w:val="left" w:pos="383" w:leader="none"/>
        </w:tabs>
        <w:spacing w:lineRule="auto" w:line="312" w:before="0" w:after="0"/>
        <w:ind w:left="380" w:hanging="357"/>
        <w:jc w:val="both"/>
        <w:rPr>
          <w:rFonts w:ascii="Arial" w:hAnsi="Arial" w:cs="Arial"/>
        </w:rPr>
      </w:pPr>
      <w:r>
        <w:rPr>
          <w:rFonts w:cs="Arial" w:ascii="Arial" w:hAnsi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>
      <w:pPr>
        <w:pStyle w:val="Normal"/>
        <w:numPr>
          <w:ilvl w:val="3"/>
          <w:numId w:val="2"/>
        </w:numPr>
        <w:tabs>
          <w:tab w:val="clear" w:pos="708"/>
        </w:tabs>
        <w:spacing w:before="120" w:after="0"/>
        <w:ind w:left="851" w:hanging="425"/>
        <w:rPr>
          <w:rFonts w:ascii="Arial" w:hAnsi="Arial" w:cs="Arial"/>
          <w:lang w:eastAsia="ar-SA"/>
        </w:rPr>
      </w:pPr>
      <w:r>
        <w:rPr>
          <w:rFonts w:cs="Arial" w:ascii="Arial" w:hAnsi="Arial"/>
          <w:lang w:eastAsia="ar-SA"/>
        </w:rPr>
        <w:t xml:space="preserve">   </w:t>
      </w:r>
      <w:r>
        <w:rPr>
          <w:rFonts w:cs="Arial" w:ascii="Arial" w:hAnsi="Arial"/>
          <w:lang w:eastAsia="ar-SA"/>
        </w:rPr>
        <w:t>jednomiesięczne wynagrodzenie, jeżeli pracownik był zatrudniony krócej niż 10 lat;</w:t>
      </w:r>
    </w:p>
    <w:p>
      <w:pPr>
        <w:pStyle w:val="Normal"/>
        <w:spacing w:before="120" w:after="0"/>
        <w:ind w:left="851" w:hanging="425"/>
        <w:rPr>
          <w:rFonts w:ascii="Arial" w:hAnsi="Arial" w:cs="Arial"/>
          <w:lang w:eastAsia="ar-SA"/>
        </w:rPr>
      </w:pPr>
      <w:r>
        <w:rPr>
          <w:rFonts w:cs="Arial" w:ascii="Arial" w:hAnsi="Arial"/>
          <w:lang w:eastAsia="ar-SA"/>
        </w:rPr>
        <w:t>2)   trzymiesięczne wynagrodzenie, jeżeli pracownik był zatrudniony co najmniej 10 lat;</w:t>
      </w:r>
    </w:p>
    <w:p>
      <w:pPr>
        <w:pStyle w:val="Normal"/>
        <w:spacing w:before="120" w:after="0"/>
        <w:ind w:left="851" w:hanging="425"/>
        <w:rPr>
          <w:rFonts w:ascii="Arial" w:hAnsi="Arial" w:cs="Arial"/>
          <w:lang w:eastAsia="ar-SA"/>
        </w:rPr>
      </w:pPr>
      <w:r>
        <w:rPr>
          <w:rFonts w:cs="Arial" w:ascii="Arial" w:hAnsi="Arial"/>
          <w:lang w:eastAsia="ar-SA"/>
        </w:rPr>
        <w:t>3) sześciomiesięczne wynagrodzenie, jeżeli pracownik był zatrudniony co najmniej 15 lat</w:t>
      </w:r>
    </w:p>
    <w:p>
      <w:pPr>
        <w:pStyle w:val="NormalWeb"/>
        <w:numPr>
          <w:ilvl w:val="0"/>
          <w:numId w:val="2"/>
        </w:numPr>
        <w:tabs>
          <w:tab w:val="clear" w:pos="708"/>
          <w:tab w:val="left" w:pos="383" w:leader="none"/>
        </w:tabs>
        <w:spacing w:lineRule="auto" w:line="312" w:before="12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W sprawach nieuregulowanych stosuje się odpowiednio art. 93 Kodeksu pracy.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13.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>
      <w:pPr>
        <w:pStyle w:val="Normal"/>
        <w:spacing w:lineRule="auto" w:line="312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§ 14.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Wynagrodzenie pracowników po wprowadzeniu niniejszego regulaminu wynagradzania nie może być niższe od dotychczas otrzymywanego.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Dotychczasowe dodatki do wynagrodzenia, które nie mają zastosowania w niniejszym regulaminie zostają włączone odpowiednio do płacy zasadniczej oraz pozostałych składników wynagrodzenia pracownika.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15.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Regulamin wynagradzania został uzgodniony z zakładowymi organizacjami związkowymi.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16.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>
      <w:pPr>
        <w:pStyle w:val="Normal"/>
        <w:spacing w:lineRule="auto" w:line="312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17.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Regulamin wynagradzania jest dostępny pracownikom do wglądu w sekretariacie Szkoły Podstawowej nr 46 w Częstochowie. 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18.</w:t>
      </w:r>
    </w:p>
    <w:p>
      <w:pPr>
        <w:pStyle w:val="Normal"/>
        <w:spacing w:lineRule="auto" w:line="312"/>
        <w:jc w:val="both"/>
        <w:rPr>
          <w:rFonts w:ascii="Arial" w:hAnsi="Arial" w:cs="Arial"/>
        </w:rPr>
      </w:pPr>
      <w:r>
        <w:rPr>
          <w:rFonts w:cs="Arial" w:ascii="Arial" w:hAnsi="Arial"/>
        </w:rPr>
        <w:t>Regulamin wynagradzania obowiązuje na czas nieokreślony.</w:t>
      </w:r>
    </w:p>
    <w:p>
      <w:pPr>
        <w:pStyle w:val="Normal"/>
        <w:spacing w:lineRule="auto" w:line="312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§ 19.</w:t>
      </w:r>
    </w:p>
    <w:p>
      <w:pPr>
        <w:pStyle w:val="Normal"/>
        <w:spacing w:lineRule="auto" w:line="312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</w:rPr>
        <w:t>Zmiana niniejszego regulaminu wymaga trybu przewidzianego dla jego wprowadzenia.</w:t>
      </w:r>
    </w:p>
    <w:p>
      <w:pPr>
        <w:pStyle w:val="Normal"/>
        <w:spacing w:lineRule="auto" w:line="312"/>
        <w:rPr>
          <w:rFonts w:ascii="Arial" w:hAnsi="Arial" w:cs="Arial"/>
          <w:b/>
          <w:b/>
          <w:color w:val="FF0000"/>
        </w:rPr>
      </w:pPr>
      <w:r>
        <w:rPr>
          <w:rFonts w:cs="Arial" w:ascii="Arial" w:hAnsi="Arial"/>
          <w:b/>
          <w:color w:val="FF0000"/>
        </w:rPr>
      </w:r>
    </w:p>
    <w:p>
      <w:pPr>
        <w:pStyle w:val="Normal"/>
        <w:spacing w:lineRule="auto" w:line="312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12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(-)mgr Janusz Sikorski</w:t>
      </w:r>
    </w:p>
    <w:p>
      <w:pPr>
        <w:pStyle w:val="Normal"/>
        <w:spacing w:lineRule="auto" w:line="312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</w:t>
      </w:r>
    </w:p>
    <w:p>
      <w:pPr>
        <w:pStyle w:val="Normal"/>
        <w:spacing w:lineRule="auto" w:line="312"/>
        <w:ind w:left="566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(podpis przedstawiciela pracodawcy)</w:t>
      </w:r>
    </w:p>
    <w:p>
      <w:pPr>
        <w:pStyle w:val="Normal"/>
        <w:spacing w:lineRule="auto" w:line="31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(-)mgr Andrzej Rorat</w:t>
      </w:r>
      <w:bookmarkStart w:id="0" w:name="_GoBack"/>
      <w:bookmarkEnd w:id="0"/>
    </w:p>
    <w:p>
      <w:pPr>
        <w:pStyle w:val="Normal"/>
        <w:spacing w:lineRule="auto" w:line="312"/>
        <w:rPr>
          <w:rFonts w:ascii="Arial" w:hAnsi="Arial" w:cs="Arial"/>
        </w:rPr>
      </w:pPr>
      <w:r>
        <w:rPr>
          <w:rFonts w:cs="Arial" w:ascii="Arial" w:hAnsi="Arial"/>
        </w:rPr>
        <w:t>.......................................................</w:t>
      </w:r>
    </w:p>
    <w:p>
      <w:pPr>
        <w:pStyle w:val="Normal"/>
        <w:spacing w:lineRule="auto" w:line="312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(podpisy przedstawicieli </w:t>
      </w:r>
    </w:p>
    <w:p>
      <w:pPr>
        <w:pStyle w:val="Normal"/>
        <w:spacing w:lineRule="auto" w:line="312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zakładowych organizacji związkowych)</w:t>
      </w:r>
      <w:r>
        <w:br w:type="page"/>
      </w:r>
    </w:p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Załącznik nr 1</w:t>
      </w:r>
    </w:p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agwek7"/>
        <w:jc w:val="center"/>
        <w:rPr>
          <w:rFonts w:ascii="Arial" w:hAnsi="Arial" w:eastAsia="Arial Unicode MS" w:cs="Arial"/>
          <w:b/>
          <w:b/>
        </w:rPr>
      </w:pPr>
      <w:r>
        <w:rPr>
          <w:rFonts w:eastAsia="Arial Unicode MS" w:cs="Arial" w:ascii="Arial" w:hAnsi="Arial"/>
          <w:b/>
        </w:rPr>
        <w:t>TABELA ROZPIĘTOŚCI MIESIĘCZNYCH KWOT</w:t>
      </w:r>
    </w:p>
    <w:p>
      <w:pPr>
        <w:pStyle w:val="Nagwek7"/>
        <w:jc w:val="center"/>
        <w:rPr>
          <w:rFonts w:ascii="Arial" w:hAnsi="Arial" w:eastAsia="Arial Unicode MS" w:cs="Arial"/>
          <w:b/>
          <w:b/>
        </w:rPr>
      </w:pPr>
      <w:r>
        <w:rPr>
          <w:rFonts w:eastAsia="Arial Unicode MS" w:cs="Arial" w:ascii="Arial" w:hAnsi="Arial"/>
          <w:b/>
        </w:rPr>
        <w:t>WYNAGRODZENIA ZASADNICZEGO</w:t>
      </w:r>
    </w:p>
    <w:p>
      <w:pPr>
        <w:pStyle w:val="Normal"/>
        <w:rPr>
          <w:rFonts w:ascii="Arial" w:hAnsi="Arial" w:eastAsia="Arial Unicode MS" w:cs="Arial"/>
        </w:rPr>
      </w:pPr>
      <w:r>
        <w:rPr>
          <w:rFonts w:eastAsia="Arial Unicode MS" w:cs="Arial" w:ascii="Arial" w:hAnsi="Arial"/>
        </w:rPr>
      </w:r>
    </w:p>
    <w:p>
      <w:pPr>
        <w:pStyle w:val="Normal"/>
        <w:rPr>
          <w:rFonts w:ascii="Arial" w:hAnsi="Arial" w:eastAsia="Arial Unicode MS" w:cs="Arial"/>
        </w:rPr>
      </w:pPr>
      <w:r>
        <w:rPr>
          <w:rFonts w:eastAsia="Arial Unicode MS" w:cs="Arial" w:ascii="Arial" w:hAnsi="Arial"/>
        </w:rPr>
      </w:r>
    </w:p>
    <w:tbl>
      <w:tblPr>
        <w:tblW w:w="7072" w:type="dxa"/>
        <w:jc w:val="left"/>
        <w:tblInd w:w="1458" w:type="dxa"/>
        <w:tblBorders>
          <w:top w:val="double" w:sz="2" w:space="0" w:color="000000"/>
          <w:left w:val="double" w:sz="2" w:space="0" w:color="000000"/>
          <w:bottom w:val="double" w:sz="2" w:space="0" w:color="000000"/>
          <w:insideH w:val="double" w:sz="2" w:space="0" w:color="000000"/>
        </w:tblBorders>
        <w:tblCellMar>
          <w:top w:w="0" w:type="dxa"/>
          <w:left w:w="62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212"/>
        <w:gridCol w:w="2340"/>
        <w:gridCol w:w="2520"/>
      </w:tblGrid>
      <w:tr>
        <w:trPr>
          <w:trHeight w:val="822" w:hRule="atLeast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lineRule="atLeast" w:line="340" w:before="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  <w:insideH w:val="double" w:sz="2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lineRule="atLeast" w:line="460"/>
              <w:ind w:right="71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Minimalna kwota </w:t>
            </w:r>
          </w:p>
          <w:p>
            <w:pPr>
              <w:pStyle w:val="Tretekstu"/>
              <w:snapToGrid w:val="false"/>
              <w:spacing w:lineRule="atLeast" w:line="460" w:before="0" w:after="120"/>
              <w:ind w:right="71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lineRule="atLeast" w:line="460"/>
              <w:ind w:right="71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Maksymalna kwota </w:t>
            </w:r>
          </w:p>
          <w:p>
            <w:pPr>
              <w:pStyle w:val="Tretekstu"/>
              <w:snapToGrid w:val="false"/>
              <w:spacing w:lineRule="atLeast" w:line="460" w:before="0" w:after="120"/>
              <w:ind w:right="71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w zł.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1700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3000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1720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3100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III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1740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3200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IV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1760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3300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V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1780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3400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VI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1800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3600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VII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1820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3800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VIII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1840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4000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IX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1860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4200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1880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4400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1900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4600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1920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4800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XIII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1940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5000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XIV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1960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5200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XV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1980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5400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XVI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2000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5600</w:t>
            </w:r>
          </w:p>
        </w:tc>
      </w:tr>
      <w:tr>
        <w:trPr/>
        <w:tc>
          <w:tcPr>
            <w:tcW w:w="221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XVII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2100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5800</w:t>
            </w:r>
          </w:p>
        </w:tc>
      </w:tr>
      <w:tr>
        <w:trPr/>
        <w:tc>
          <w:tcPr>
            <w:tcW w:w="2212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</w:tcPr>
          <w:p>
            <w:pPr>
              <w:pStyle w:val="Tretekstu"/>
              <w:snapToGrid w:val="false"/>
              <w:spacing w:before="0" w:after="12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  <w:insideH w:val="double" w:sz="2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Normal"/>
              <w:snapToGrid w:val="false"/>
              <w:ind w:right="71" w:hanging="0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6000</w:t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  <w:r>
        <w:br w:type="page"/>
      </w:r>
    </w:p>
    <w:p>
      <w:pPr>
        <w:pStyle w:val="Nagwek7"/>
        <w:jc w:val="right"/>
        <w:rPr>
          <w:rFonts w:ascii="Arial" w:hAnsi="Arial" w:eastAsia="Arial Unicode MS" w:cs="Arial"/>
          <w:b/>
          <w:b/>
        </w:rPr>
      </w:pPr>
      <w:r>
        <w:rPr>
          <w:rFonts w:eastAsia="Arial Unicode MS" w:cs="Arial" w:ascii="Arial" w:hAnsi="Arial"/>
          <w:b/>
        </w:rPr>
        <w:t>Załącznik nr 2</w:t>
      </w:r>
    </w:p>
    <w:p>
      <w:pPr>
        <w:pStyle w:val="Nagwek7"/>
        <w:jc w:val="center"/>
        <w:rPr>
          <w:rFonts w:ascii="Arial" w:hAnsi="Arial" w:eastAsia="Arial Unicode MS" w:cs="Arial"/>
          <w:sz w:val="26"/>
          <w:szCs w:val="26"/>
        </w:rPr>
      </w:pPr>
      <w:r>
        <w:rPr>
          <w:rFonts w:eastAsia="Arial Unicode MS" w:cs="Arial" w:ascii="Arial" w:hAnsi="Arial"/>
          <w:b/>
          <w:sz w:val="26"/>
          <w:szCs w:val="26"/>
        </w:rPr>
        <w:t>Tabela stanowisk, zaszeregowań i wymagań kwalifikacyjnych pracowników</w:t>
      </w:r>
    </w:p>
    <w:tbl>
      <w:tblPr>
        <w:tblW w:w="8980" w:type="dxa"/>
        <w:jc w:val="left"/>
        <w:tblInd w:w="-12" w:type="dxa"/>
        <w:tblBorders>
          <w:top w:val="double" w:sz="2" w:space="0" w:color="000000"/>
          <w:left w:val="double" w:sz="2" w:space="0" w:color="000000"/>
        </w:tblBorders>
        <w:tblCellMar>
          <w:top w:w="0" w:type="dxa"/>
          <w:left w:w="-7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583"/>
        <w:gridCol w:w="3217"/>
        <w:gridCol w:w="1704"/>
        <w:gridCol w:w="45"/>
        <w:gridCol w:w="1260"/>
        <w:gridCol w:w="2171"/>
      </w:tblGrid>
      <w:tr>
        <w:trPr>
          <w:trHeight w:val="406" w:hRule="atLeast"/>
          <w:cantSplit w:val="true"/>
        </w:trPr>
        <w:tc>
          <w:tcPr>
            <w:tcW w:w="583" w:type="dxa"/>
            <w:vMerge w:val="restart"/>
            <w:tcBorders>
              <w:top w:val="doub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  <w:p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  <w:p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  <w:t>Lp.</w:t>
            </w:r>
          </w:p>
        </w:tc>
        <w:tc>
          <w:tcPr>
            <w:tcW w:w="3217" w:type="dxa"/>
            <w:vMerge w:val="restart"/>
            <w:tcBorders>
              <w:top w:val="doub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  <w:p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  <w:p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  <w:t>Stanowisko</w:t>
            </w:r>
          </w:p>
        </w:tc>
        <w:tc>
          <w:tcPr>
            <w:tcW w:w="5180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  <w:insideH w:val="sing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before="120"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  <w:t>Minimalne wymagania kwalifikacyjne</w:t>
            </w:r>
          </w:p>
          <w:p>
            <w:pPr>
              <w:pStyle w:val="Normal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</w:tc>
      </w:tr>
      <w:tr>
        <w:trPr>
          <w:trHeight w:val="478" w:hRule="atLeast"/>
          <w:cantSplit w:val="true"/>
        </w:trPr>
        <w:tc>
          <w:tcPr>
            <w:tcW w:w="583" w:type="dxa"/>
            <w:vMerge w:val="continue"/>
            <w:tcBorders>
              <w:top w:val="double" w:sz="2" w:space="0" w:color="000000"/>
              <w:left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</w:tc>
        <w:tc>
          <w:tcPr>
            <w:tcW w:w="3217" w:type="dxa"/>
            <w:vMerge w:val="continue"/>
            <w:tcBorders>
              <w:top w:val="double" w:sz="2" w:space="0" w:color="000000"/>
              <w:lef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</w:r>
          </w:p>
        </w:tc>
        <w:tc>
          <w:tcPr>
            <w:tcW w:w="1704" w:type="dxa"/>
            <w:tcBorders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6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  <w:t>liczba lat pracy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cs="Arial" w:ascii="Arial" w:hAnsi="Arial"/>
                <w:sz w:val="26"/>
                <w:szCs w:val="26"/>
              </w:rPr>
              <w:t>Minimalny poziom wynagrodzenia zasadniczego</w:t>
            </w:r>
          </w:p>
        </w:tc>
      </w:tr>
      <w:tr>
        <w:trPr>
          <w:trHeight w:val="177" w:hRule="atLeast"/>
          <w:cantSplit w:val="true"/>
        </w:trPr>
        <w:tc>
          <w:tcPr>
            <w:tcW w:w="8980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180" w:before="60" w:after="6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I. Stanowiska urzędnicze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XVII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XVI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  <w:r>
              <w:rPr>
                <w:rFonts w:cs="Arial" w:ascii="Arial" w:hAnsi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4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6.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7.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8.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9.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specjalista</w:t>
            </w:r>
          </w:p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10.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11.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IX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12.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IX</w:t>
            </w:r>
          </w:p>
        </w:tc>
      </w:tr>
      <w:tr>
        <w:trPr>
          <w:trHeight w:val="598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13.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14.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15.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referent, starszy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16.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</w:t>
            </w:r>
          </w:p>
        </w:tc>
      </w:tr>
      <w:tr>
        <w:trPr>
          <w:trHeight w:val="360" w:hRule="atLeast"/>
          <w:cantSplit w:val="true"/>
        </w:trPr>
        <w:tc>
          <w:tcPr>
            <w:tcW w:w="8980" w:type="dxa"/>
            <w:gridSpan w:val="6"/>
            <w:tcBorders>
              <w:top w:val="single" w:sz="2" w:space="0" w:color="000000"/>
              <w:left w:val="doub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II. Stanowiska pomocnicze i obsługi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17.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tbl>
            <w:tblPr>
              <w:tblW w:w="9794" w:type="dxa"/>
              <w:jc w:val="left"/>
              <w:tblInd w:w="0" w:type="dxa"/>
              <w:tblBorders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8321"/>
              <w:gridCol w:w="1472"/>
            </w:tblGrid>
            <w:tr>
              <w:trPr/>
              <w:tc>
                <w:tcPr>
                  <w:tcW w:w="8321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tLeast" w:line="300"/>
                    <w:rPr>
                      <w:sz w:val="22"/>
                      <w:szCs w:val="22"/>
                    </w:rPr>
                  </w:pPr>
                  <w:r>
                    <w:rPr>
                      <w:rFonts w:cs="Arial" w:ascii="Arial" w:hAnsi="Arial"/>
                      <w:sz w:val="22"/>
                      <w:szCs w:val="22"/>
                    </w:rPr>
                    <w:t xml:space="preserve">wyższe </w:t>
                  </w:r>
                  <w:r>
                    <w:rPr>
                      <w:rFonts w:cs="Arial" w:ascii="Arial" w:hAnsi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7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7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18.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6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19.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20.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21.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22.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</w:t>
            </w:r>
          </w:p>
        </w:tc>
      </w:tr>
      <w:tr>
        <w:trPr>
          <w:trHeight w:val="492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23.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</w:t>
            </w:r>
          </w:p>
        </w:tc>
      </w:tr>
      <w:tr>
        <w:trPr>
          <w:trHeight w:val="656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24.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Normal"/>
              <w:spacing w:beforeAutospacing="1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25.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26.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27.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29.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IV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30.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31.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right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32.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  <w:insideH w:val="sing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33.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Robotnik gospodarczy,</w:t>
            </w:r>
          </w:p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portier, szatniarz, dozorca,</w:t>
            </w:r>
          </w:p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  <w:insideH w:val="sing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II</w:t>
            </w:r>
          </w:p>
        </w:tc>
      </w:tr>
      <w:tr>
        <w:trPr>
          <w:trHeight w:val="360" w:hRule="atLeast"/>
          <w:cantSplit w:val="true"/>
        </w:trPr>
        <w:tc>
          <w:tcPr>
            <w:tcW w:w="583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34.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</w:tcPr>
          <w:p>
            <w:pPr>
              <w:pStyle w:val="Zwyk3y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</w:t>
            </w:r>
          </w:p>
        </w:tc>
      </w:tr>
    </w:tbl>
    <w:p>
      <w:pPr>
        <w:pStyle w:val="Textjustify"/>
        <w:spacing w:beforeAutospacing="0" w:before="120" w:afterAutospacing="0" w:after="0"/>
        <w:rPr/>
      </w:pPr>
      <w:r>
        <w:rPr>
          <w:rFonts w:cs="Arial" w:ascii="Arial" w:hAnsi="Arial"/>
          <w:sz w:val="22"/>
          <w:szCs w:val="22"/>
          <w:vertAlign w:val="superscript"/>
        </w:rPr>
        <w:t>2)</w:t>
      </w:r>
      <w:r>
        <w:rPr>
          <w:rFonts w:cs="Arial" w:ascii="Arial" w:hAnsi="Arial"/>
          <w:sz w:val="22"/>
          <w:szCs w:val="22"/>
        </w:rPr>
        <w:t xml:space="preserve"> Wykształcenie wyższe - rozumie się przez to studia wyższe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> HYPERLINK "https://sip.lex.pl/" \l "/document/17215286?cm=DOCUMENT"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>
      <w:pPr>
        <w:pStyle w:val="Textjustify"/>
        <w:spacing w:beforeAutospacing="0" w:before="120" w:afterAutospacing="0" w:after="0"/>
        <w:rPr/>
      </w:pPr>
      <w:r>
        <w:rPr>
          <w:rFonts w:cs="Arial" w:ascii="Arial" w:hAnsi="Arial"/>
          <w:sz w:val="22"/>
          <w:szCs w:val="22"/>
          <w:vertAlign w:val="superscript"/>
        </w:rPr>
        <w:t>3)</w:t>
      </w:r>
      <w:r>
        <w:rPr>
          <w:rFonts w:cs="Arial" w:ascii="Arial" w:hAnsi="Arial"/>
          <w:sz w:val="22"/>
          <w:szCs w:val="22"/>
        </w:rPr>
        <w:t xml:space="preserve"> Wykształcenie średnie - rozumie się przez to wykształcenie średnie lub średnie branżowe,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> HYPERLINK "https://sip.lex.pl/" \l "/document/18558680?cm=DOCUMENT"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>
      <w:pPr>
        <w:pStyle w:val="Textjustify"/>
        <w:spacing w:beforeAutospacing="0" w:before="120" w:afterAutospacing="0" w:after="0"/>
        <w:rPr/>
      </w:pPr>
      <w:r>
        <w:rPr>
          <w:rFonts w:cs="Arial" w:ascii="Arial" w:hAnsi="Arial"/>
          <w:sz w:val="22"/>
          <w:szCs w:val="22"/>
          <w:vertAlign w:val="superscript"/>
        </w:rPr>
        <w:t>4)</w:t>
      </w:r>
      <w:r>
        <w:rPr>
          <w:rFonts w:cs="Arial" w:ascii="Arial" w:hAnsi="Arial"/>
          <w:sz w:val="22"/>
          <w:szCs w:val="22"/>
        </w:rPr>
        <w:t xml:space="preserve"> Wykształcenie zasadnicze - rozumie się przez to wykształcenie zasadnicze branżowe lub zasadnicze zawodowe,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> HYPERLINK "https://sip.lex.pl/" \l "/document/18558680?cm=DOCUMENT"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14 grudnia 2016 r. - Prawo oświatowe, o odpowiednim profilu umożliwiającym wykonywanie zadań na stanowisku.</w:t>
      </w:r>
    </w:p>
    <w:p>
      <w:pPr>
        <w:pStyle w:val="Textjustify"/>
        <w:spacing w:beforeAutospacing="0" w:before="120" w:afterAutospacing="0" w:after="0"/>
        <w:rPr/>
      </w:pPr>
      <w:r>
        <w:rPr>
          <w:rFonts w:cs="Arial" w:ascii="Arial" w:hAnsi="Arial"/>
          <w:sz w:val="22"/>
          <w:szCs w:val="22"/>
          <w:vertAlign w:val="superscript"/>
        </w:rPr>
        <w:t>5)</w:t>
      </w:r>
      <w:r>
        <w:rPr>
          <w:rFonts w:cs="Arial" w:ascii="Arial" w:hAnsi="Arial"/>
          <w:sz w:val="22"/>
          <w:szCs w:val="22"/>
        </w:rPr>
        <w:t xml:space="preserve"> Wykształcenie podstawowe - rozumie się przez to wykształcenie podstawowe,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> HYPERLINK "https://sip.lex.pl/" \l "/document/18558680?cm=DOCUMENT"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14 grudnia 2016 r. - Prawo oświatowe, a także umiejętność wykonywania czynności na stanowisku.</w:t>
      </w:r>
    </w:p>
    <w:sectPr>
      <w:footerReference w:type="default" r:id="rId2"/>
      <w:type w:val="nextPage"/>
      <w:pgSz w:w="11906" w:h="16838"/>
      <w:pgMar w:left="1417" w:right="1417" w:header="0" w:top="1417" w:footer="708" w:bottom="899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1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opka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2.05pt;height:13.8pt;mso-wrap-distance-left:0pt;mso-wrap-distance-right:0pt;mso-wrap-distance-top:0pt;mso-wrap-distance-bottom:0pt;margin-top:0.05pt;mso-position-vertical-relative:text;margin-left:441.5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opka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</w:lvl>
    <w:lvl w:ilvl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sz w:val="24"/>
        <w:i w:val="false"/>
        <w:b w:val="false"/>
        <w:szCs w:val="24"/>
        <w:rFonts w:ascii="Arial" w:hAnsi="Arial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</w:lvl>
    <w:lvl w:ilvl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502" w:hanging="360"/>
      </w:pPr>
      <w:rPr>
        <w:b w:val="false"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502" w:hanging="360"/>
      </w:pPr>
      <w:rPr>
        <w:b w:val="false"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7">
    <w:name w:val="Heading 7"/>
    <w:basedOn w:val="Normal"/>
    <w:next w:val="Normal"/>
    <w:qFormat/>
    <w:rsid w:val="00a427cd"/>
    <w:pPr>
      <w:spacing w:before="240" w:after="60"/>
      <w:outlineLvl w:val="6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ae1364"/>
    <w:rPr/>
  </w:style>
  <w:style w:type="character" w:styleId="TekstprzypisudolnegoZnak" w:customStyle="1">
    <w:name w:val="Tekst przypisu dolnego Znak"/>
    <w:basedOn w:val="DefaultParagraphFont"/>
    <w:link w:val="Tekstprzypisudolnego"/>
    <w:semiHidden/>
    <w:qFormat/>
    <w:rsid w:val="00395808"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95808"/>
    <w:rPr>
      <w:vertAlign w:val="superscript"/>
    </w:rPr>
  </w:style>
  <w:style w:type="character" w:styleId="Alb" w:customStyle="1">
    <w:name w:val="a_lb"/>
    <w:basedOn w:val="DefaultParagraphFont"/>
    <w:qFormat/>
    <w:rsid w:val="008c5eaa"/>
    <w:rPr/>
  </w:style>
  <w:style w:type="character" w:styleId="Wyrnienie">
    <w:name w:val="Wyróżnienie"/>
    <w:basedOn w:val="DefaultParagraphFont"/>
    <w:uiPriority w:val="20"/>
    <w:qFormat/>
    <w:rsid w:val="00497371"/>
    <w:rPr>
      <w:i/>
      <w:iCs/>
    </w:rPr>
  </w:style>
  <w:style w:type="character" w:styleId="Czeinternetowe">
    <w:name w:val="Łącze internetowe"/>
    <w:basedOn w:val="DefaultParagraphFont"/>
    <w:uiPriority w:val="99"/>
    <w:semiHidden/>
    <w:unhideWhenUsed/>
    <w:rsid w:val="00497371"/>
    <w:rPr>
      <w:color w:val="0000FF"/>
      <w:u w:val="single"/>
    </w:rPr>
  </w:style>
  <w:style w:type="character" w:styleId="Textcenter" w:customStyle="1">
    <w:name w:val="text-center"/>
    <w:basedOn w:val="DefaultParagraphFont"/>
    <w:qFormat/>
    <w:rsid w:val="004b7f37"/>
    <w:rPr/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ascii="Arial" w:hAnsi="Arial"/>
      <w:b w:val="false"/>
      <w:i w:val="false"/>
      <w:sz w:val="24"/>
      <w:szCs w:val="24"/>
    </w:rPr>
  </w:style>
  <w:style w:type="character" w:styleId="ListLabel3">
    <w:name w:val="ListLabel 3"/>
    <w:qFormat/>
    <w:rPr>
      <w:rFonts w:ascii="Arial" w:hAnsi="Arial"/>
      <w:b w:val="false"/>
    </w:rPr>
  </w:style>
  <w:style w:type="character" w:styleId="ListLabel4">
    <w:name w:val="ListLabel 4"/>
    <w:qFormat/>
    <w:rPr>
      <w:rFonts w:ascii="Arial" w:hAnsi="Arial"/>
      <w:b w:val="false"/>
    </w:rPr>
  </w:style>
  <w:style w:type="character" w:styleId="ListLabel5">
    <w:name w:val="ListLabel 5"/>
    <w:qFormat/>
    <w:rPr>
      <w:rFonts w:cs="Arial"/>
      <w:color w:val="auto"/>
      <w:sz w:val="20"/>
      <w:szCs w:val="20"/>
    </w:rPr>
  </w:style>
  <w:style w:type="character" w:styleId="ListLabel6">
    <w:name w:val="ListLabel 6"/>
    <w:qFormat/>
    <w:rPr>
      <w:rFonts w:cs="Arial"/>
      <w:sz w:val="20"/>
      <w:szCs w:val="20"/>
    </w:rPr>
  </w:style>
  <w:style w:type="character" w:styleId="ListLabel7">
    <w:name w:val="ListLabel 7"/>
    <w:qFormat/>
    <w:rPr>
      <w:b w:val="false"/>
      <w:sz w:val="20"/>
      <w:szCs w:val="20"/>
    </w:rPr>
  </w:style>
  <w:style w:type="character" w:styleId="ListLabel8">
    <w:name w:val="ListLabel 8"/>
    <w:qFormat/>
    <w:rPr>
      <w:b w:val="false"/>
      <w:sz w:val="20"/>
      <w:szCs w:val="20"/>
    </w:rPr>
  </w:style>
  <w:style w:type="character" w:styleId="ListLabel9">
    <w:name w:val="ListLabel 9"/>
    <w:qFormat/>
    <w:rPr>
      <w:rFonts w:cs="Arial"/>
      <w:sz w:val="20"/>
      <w:szCs w:val="20"/>
    </w:rPr>
  </w:style>
  <w:style w:type="character" w:styleId="ListLabel10">
    <w:name w:val="ListLabel 10"/>
    <w:qFormat/>
    <w:rPr>
      <w:rFonts w:cs="Arial"/>
      <w:b w:val="false"/>
      <w:i w:val="false"/>
      <w:sz w:val="20"/>
      <w:szCs w:val="20"/>
    </w:rPr>
  </w:style>
  <w:style w:type="character" w:styleId="ListLabel11">
    <w:name w:val="ListLabel 11"/>
    <w:qFormat/>
    <w:rPr>
      <w:rFonts w:cs="Arial"/>
      <w:sz w:val="24"/>
      <w:szCs w:val="24"/>
    </w:rPr>
  </w:style>
  <w:style w:type="character" w:styleId="ListLabel12">
    <w:name w:val="ListLabel 12"/>
    <w:qFormat/>
    <w:rPr>
      <w:rFonts w:ascii="Arial" w:hAnsi="Arial" w:cs="Arial"/>
    </w:rPr>
  </w:style>
  <w:style w:type="character" w:styleId="ListLabel13">
    <w:name w:val="ListLabel 13"/>
    <w:qFormat/>
    <w:rPr>
      <w:rFonts w:ascii="Arial" w:hAnsi="Arial" w:cs="Arial"/>
      <w:sz w:val="22"/>
      <w:szCs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be45bf"/>
    <w:pPr>
      <w:widowControl w:val="false"/>
      <w:suppressAutoHyphens w:val="true"/>
      <w:spacing w:before="0" w:after="120"/>
    </w:pPr>
    <w:rPr>
      <w:rFonts w:eastAsia="Lucida Sans Unicode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1453c0"/>
    <w:pPr/>
    <w:rPr>
      <w:rFonts w:ascii="Tahoma" w:hAnsi="Tahoma" w:cs="Tahoma"/>
      <w:sz w:val="16"/>
      <w:szCs w:val="16"/>
    </w:rPr>
  </w:style>
  <w:style w:type="paragraph" w:styleId="Stopka">
    <w:name w:val="Footer"/>
    <w:basedOn w:val="Normal"/>
    <w:rsid w:val="00ae136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link w:val="TekstprzypisudolnegoZnak"/>
    <w:semiHidden/>
    <w:rsid w:val="00395808"/>
    <w:pPr/>
    <w:rPr>
      <w:sz w:val="20"/>
      <w:szCs w:val="20"/>
    </w:rPr>
  </w:style>
  <w:style w:type="paragraph" w:styleId="Standardowy1" w:customStyle="1">
    <w:name w:val="Standardowy1"/>
    <w:qFormat/>
    <w:rsid w:val="00db72fb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Default" w:customStyle="1">
    <w:name w:val="Default"/>
    <w:qFormat/>
    <w:rsid w:val="0021784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ar-SA" w:val="pl-PL" w:bidi="ar-SA"/>
    </w:rPr>
  </w:style>
  <w:style w:type="paragraph" w:styleId="NormalWeb">
    <w:name w:val="Normal (Web)"/>
    <w:basedOn w:val="Normal"/>
    <w:uiPriority w:val="99"/>
    <w:qFormat/>
    <w:rsid w:val="00217846"/>
    <w:pPr>
      <w:suppressAutoHyphens w:val="true"/>
      <w:spacing w:before="280" w:after="119"/>
    </w:pPr>
    <w:rPr>
      <w:lang w:eastAsia="ar-SA"/>
    </w:rPr>
  </w:style>
  <w:style w:type="paragraph" w:styleId="Zwyk3y" w:customStyle="1">
    <w:name w:val="Zwyk3y"/>
    <w:basedOn w:val="Normal"/>
    <w:qFormat/>
    <w:rsid w:val="00a427cd"/>
    <w:pPr>
      <w:widowControl w:val="false"/>
    </w:pPr>
    <w:rPr/>
  </w:style>
  <w:style w:type="paragraph" w:styleId="Tekstpodstawowywcity21" w:customStyle="1">
    <w:name w:val="Tekst podstawowy wcięty 21"/>
    <w:basedOn w:val="Normal"/>
    <w:qFormat/>
    <w:rsid w:val="00ca74d2"/>
    <w:pPr>
      <w:tabs>
        <w:tab w:val="clear" w:pos="708"/>
        <w:tab w:val="left" w:pos="360" w:leader="none"/>
      </w:tabs>
      <w:suppressAutoHyphens w:val="true"/>
      <w:ind w:left="360" w:hanging="360"/>
      <w:jc w:val="both"/>
    </w:pPr>
    <w:rPr>
      <w:lang w:eastAsia="ar-SA"/>
    </w:rPr>
  </w:style>
  <w:style w:type="paragraph" w:styleId="Textjustify" w:customStyle="1">
    <w:name w:val="text-justify"/>
    <w:basedOn w:val="Normal"/>
    <w:qFormat/>
    <w:rsid w:val="00146856"/>
    <w:pPr>
      <w:spacing w:beforeAutospacing="1" w:afterAutospacing="1"/>
    </w:pPr>
    <w:rPr/>
  </w:style>
  <w:style w:type="paragraph" w:styleId="Listparagraphcxspdrugie" w:customStyle="1">
    <w:name w:val="listparagraphcxspdrugie"/>
    <w:basedOn w:val="Normal"/>
    <w:qFormat/>
    <w:rsid w:val="00f62396"/>
    <w:pPr>
      <w:spacing w:before="0" w:after="125"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Styl1" w:customStyle="1">
    <w:name w:val="Styl1"/>
    <w:qFormat/>
    <w:rsid w:val="00e80585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EE3D7-7A71-4532-91F3-870AA721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LibreOffice/6.1.3.2$Windows_x86 LibreOffice_project/86daf60bf00efa86ad547e59e09d6bb77c699acb</Application>
  <Pages>19</Pages>
  <Words>2162</Words>
  <Characters>13104</Characters>
  <CharactersWithSpaces>14939</CharactersWithSpaces>
  <Paragraphs>371</Paragraphs>
  <Company>Wlasciciel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2020-02-05T15:56:00Z</dcterms:created>
  <dc:creator>Wlasciciel</dc:creator>
  <dc:description/>
  <dc:language>pl-PL</dc:language>
  <cp:lastModifiedBy>Janusz Sikorski</cp:lastModifiedBy>
  <cp:lastPrinted>2020-02-19T08:36:00Z</cp:lastPrinted>
  <dcterms:modified xsi:type="dcterms:W3CDTF">2020-02-19T08:37:00Z</dcterms:modified>
  <cp:revision>5</cp:revision>
  <dc:subject/>
  <dc:title>Regulamin wynagradzania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Wlasciciel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